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3CB4" w14:textId="77777777" w:rsidR="0033302F" w:rsidRDefault="007126F4">
      <w:pPr>
        <w:pStyle w:val="Heading1"/>
      </w:pPr>
      <w:r>
        <w:t>Citizen and Community Engagement Policy Consultation</w:t>
      </w:r>
    </w:p>
    <w:p w14:paraId="239AD6E6" w14:textId="39C94160" w:rsidR="0033302F" w:rsidRDefault="007126F4">
      <w:r>
        <w:br/>
        <w:t>The activity ran from 29/05/2025 to 26/06/2025</w:t>
      </w:r>
    </w:p>
    <w:p w14:paraId="0632F745" w14:textId="77777777" w:rsidR="0033302F" w:rsidRDefault="007126F4">
      <w:pPr>
        <w:rPr>
          <w:rFonts w:eastAsia="SimSun"/>
          <w:b/>
          <w:lang w:eastAsia="zh-CN"/>
        </w:rPr>
      </w:pPr>
      <w:r>
        <w:t xml:space="preserve">Responses to this survey: </w:t>
      </w:r>
      <w:r>
        <w:rPr>
          <w:b/>
        </w:rPr>
        <w:t>197</w:t>
      </w:r>
    </w:p>
    <w:p w14:paraId="5C567783" w14:textId="77777777" w:rsidR="006B3F51" w:rsidRDefault="006B3F51">
      <w:pPr>
        <w:rPr>
          <w:rFonts w:eastAsia="SimSun"/>
          <w:b/>
          <w:lang w:eastAsia="zh-CN"/>
        </w:rPr>
      </w:pPr>
    </w:p>
    <w:p w14:paraId="734C23C2" w14:textId="61D185C2" w:rsidR="000A7FC1" w:rsidRPr="00AA0904" w:rsidRDefault="000A7FC1" w:rsidP="006E14D4">
      <w:pPr>
        <w:pStyle w:val="Heading2"/>
        <w:rPr>
          <w:rFonts w:ascii="Arial" w:hAnsi="Arial" w:cs="Arial"/>
          <w:lang w:eastAsia="zh-CN"/>
        </w:rPr>
      </w:pPr>
      <w:r w:rsidRPr="00AA0904">
        <w:rPr>
          <w:rFonts w:ascii="Arial" w:hAnsi="Arial" w:cs="Arial"/>
          <w:lang w:eastAsia="zh-CN"/>
        </w:rPr>
        <w:t>Key findings:</w:t>
      </w:r>
    </w:p>
    <w:p w14:paraId="7D036023" w14:textId="0F4CCB96" w:rsidR="000A7FC1" w:rsidRDefault="000A7FC1">
      <w:pPr>
        <w:rPr>
          <w:rFonts w:eastAsia="SimSun"/>
          <w:b/>
          <w:lang w:eastAsia="zh-CN"/>
        </w:rPr>
      </w:pPr>
      <w:r w:rsidRPr="000A7FC1">
        <w:rPr>
          <w:rFonts w:eastAsia="SimSun"/>
          <w:b/>
          <w:lang w:eastAsia="zh-CN"/>
        </w:rPr>
        <w:t>The consultation received strong support for the Council’s commitment to community engagement, with several clear themes emerging:</w:t>
      </w:r>
    </w:p>
    <w:p w14:paraId="3BADE03B" w14:textId="4F469010" w:rsidR="000A7FC1" w:rsidRPr="000A7FC1" w:rsidRDefault="000A7FC1" w:rsidP="000A7FC1">
      <w:pPr>
        <w:numPr>
          <w:ilvl w:val="0"/>
          <w:numId w:val="14"/>
        </w:numPr>
        <w:rPr>
          <w:rFonts w:eastAsia="SimSun"/>
          <w:b/>
          <w:lang w:val="en-GB" w:eastAsia="zh-CN"/>
        </w:rPr>
      </w:pPr>
      <w:r w:rsidRPr="000A7FC1">
        <w:rPr>
          <w:rFonts w:eastAsia="SimSun"/>
          <w:b/>
          <w:bCs/>
          <w:lang w:val="en-GB" w:eastAsia="zh-CN"/>
        </w:rPr>
        <w:t>Strong support for engagement principles</w:t>
      </w:r>
      <w:r w:rsidRPr="000A7FC1">
        <w:rPr>
          <w:rFonts w:eastAsia="SimSun"/>
          <w:b/>
          <w:lang w:val="en-GB" w:eastAsia="zh-CN"/>
        </w:rPr>
        <w:t xml:space="preserve">: Over 80% of respondents agreed or strongly agreed with the principles outlined in the draft policy, including </w:t>
      </w:r>
      <w:r w:rsidR="006E14D4">
        <w:rPr>
          <w:rFonts w:eastAsia="SimSun" w:hint="eastAsia"/>
          <w:b/>
          <w:lang w:val="en-GB" w:eastAsia="zh-CN"/>
        </w:rPr>
        <w:t xml:space="preserve">flexibility, proportionality, transparency, timeliness, feedback, </w:t>
      </w:r>
      <w:r w:rsidRPr="000A7FC1">
        <w:rPr>
          <w:rFonts w:eastAsia="SimSun"/>
          <w:b/>
          <w:lang w:val="en-GB" w:eastAsia="zh-CN"/>
        </w:rPr>
        <w:t>inclusiveness</w:t>
      </w:r>
      <w:r w:rsidR="006E14D4">
        <w:rPr>
          <w:rFonts w:eastAsia="SimSun" w:hint="eastAsia"/>
          <w:b/>
          <w:lang w:val="en-GB" w:eastAsia="zh-CN"/>
        </w:rPr>
        <w:t>, and strengthening tenant voice.</w:t>
      </w:r>
    </w:p>
    <w:p w14:paraId="18801672" w14:textId="77777777" w:rsidR="000A7FC1" w:rsidRPr="000A7FC1" w:rsidRDefault="000A7FC1" w:rsidP="000A7FC1">
      <w:pPr>
        <w:numPr>
          <w:ilvl w:val="0"/>
          <w:numId w:val="14"/>
        </w:numPr>
        <w:rPr>
          <w:rFonts w:eastAsia="SimSun"/>
          <w:b/>
          <w:lang w:val="en-GB" w:eastAsia="zh-CN"/>
        </w:rPr>
      </w:pPr>
      <w:r w:rsidRPr="000A7FC1">
        <w:rPr>
          <w:rFonts w:eastAsia="SimSun"/>
          <w:b/>
          <w:bCs/>
          <w:lang w:val="en-GB" w:eastAsia="zh-CN"/>
        </w:rPr>
        <w:t>Resident involvement is highly valued</w:t>
      </w:r>
      <w:r w:rsidRPr="000A7FC1">
        <w:rPr>
          <w:rFonts w:eastAsia="SimSun"/>
          <w:b/>
          <w:lang w:val="en-GB" w:eastAsia="zh-CN"/>
        </w:rPr>
        <w:t xml:space="preserve">: 93% of respondents said it is either </w:t>
      </w:r>
      <w:r w:rsidRPr="000A7FC1">
        <w:rPr>
          <w:rFonts w:eastAsia="SimSun"/>
          <w:b/>
          <w:i/>
          <w:iCs/>
          <w:lang w:val="en-GB" w:eastAsia="zh-CN"/>
        </w:rPr>
        <w:t>extremely</w:t>
      </w:r>
      <w:r w:rsidRPr="000A7FC1">
        <w:rPr>
          <w:rFonts w:eastAsia="SimSun"/>
          <w:b/>
          <w:lang w:val="en-GB" w:eastAsia="zh-CN"/>
        </w:rPr>
        <w:t xml:space="preserve"> or </w:t>
      </w:r>
      <w:r w:rsidRPr="000A7FC1">
        <w:rPr>
          <w:rFonts w:eastAsia="SimSun"/>
          <w:b/>
          <w:i/>
          <w:iCs/>
          <w:lang w:val="en-GB" w:eastAsia="zh-CN"/>
        </w:rPr>
        <w:t>very important</w:t>
      </w:r>
      <w:r w:rsidRPr="000A7FC1">
        <w:rPr>
          <w:rFonts w:eastAsia="SimSun"/>
          <w:b/>
          <w:lang w:val="en-GB" w:eastAsia="zh-CN"/>
        </w:rPr>
        <w:t xml:space="preserve"> for residents to be involved in decisions that affect them or their neighbourhood.</w:t>
      </w:r>
    </w:p>
    <w:p w14:paraId="04E9D32F" w14:textId="77777777" w:rsidR="000A7FC1" w:rsidRPr="000A7FC1" w:rsidRDefault="000A7FC1" w:rsidP="000A7FC1">
      <w:pPr>
        <w:numPr>
          <w:ilvl w:val="0"/>
          <w:numId w:val="14"/>
        </w:numPr>
        <w:rPr>
          <w:rFonts w:eastAsia="SimSun"/>
          <w:b/>
          <w:lang w:val="en-GB" w:eastAsia="zh-CN"/>
        </w:rPr>
      </w:pPr>
      <w:r w:rsidRPr="000A7FC1">
        <w:rPr>
          <w:rFonts w:eastAsia="SimSun"/>
          <w:b/>
          <w:bCs/>
          <w:lang w:val="en-GB" w:eastAsia="zh-CN"/>
        </w:rPr>
        <w:t>Engagement is already happening in various forms</w:t>
      </w:r>
      <w:r w:rsidRPr="000A7FC1">
        <w:rPr>
          <w:rFonts w:eastAsia="SimSun"/>
          <w:b/>
          <w:lang w:val="en-GB" w:eastAsia="zh-CN"/>
        </w:rPr>
        <w:t>: A majority of respondents reported having engaged through online surveys (76%), the Residents’ Panel (58%), and speaking with local councillors (49%).</w:t>
      </w:r>
    </w:p>
    <w:p w14:paraId="1957554B" w14:textId="77777777" w:rsidR="000A7FC1" w:rsidRPr="000A7FC1" w:rsidRDefault="000A7FC1" w:rsidP="000A7FC1">
      <w:pPr>
        <w:numPr>
          <w:ilvl w:val="0"/>
          <w:numId w:val="14"/>
        </w:numPr>
        <w:rPr>
          <w:rFonts w:eastAsia="SimSun"/>
          <w:b/>
          <w:lang w:val="en-GB" w:eastAsia="zh-CN"/>
        </w:rPr>
      </w:pPr>
      <w:r w:rsidRPr="000A7FC1">
        <w:rPr>
          <w:rFonts w:eastAsia="SimSun"/>
          <w:b/>
          <w:bCs/>
          <w:lang w:val="en-GB" w:eastAsia="zh-CN"/>
        </w:rPr>
        <w:t>Barriers remain, particularly around trust and awareness</w:t>
      </w:r>
      <w:r w:rsidRPr="000A7FC1">
        <w:rPr>
          <w:rFonts w:eastAsia="SimSun"/>
          <w:b/>
          <w:lang w:val="en-GB" w:eastAsia="zh-CN"/>
        </w:rPr>
        <w:t>: The most commonly cited barrier was feeling that residents’ opinions won’t make a difference (48%), followed by not knowing enough about the issues (39%) and lack of time (38%).</w:t>
      </w:r>
    </w:p>
    <w:p w14:paraId="466FDFF5" w14:textId="77777777" w:rsidR="000A7FC1" w:rsidRPr="000A7FC1" w:rsidRDefault="000A7FC1" w:rsidP="000A7FC1">
      <w:pPr>
        <w:rPr>
          <w:rFonts w:eastAsia="SimSun"/>
          <w:b/>
          <w:lang w:val="en-GB" w:eastAsia="zh-CN"/>
        </w:rPr>
      </w:pPr>
      <w:r w:rsidRPr="000A7FC1">
        <w:rPr>
          <w:rFonts w:eastAsia="SimSun"/>
          <w:b/>
          <w:lang w:val="en-GB" w:eastAsia="zh-CN"/>
        </w:rPr>
        <w:t>These findings suggest that while residents value and engage with council decision-making, there are still challenges to address, particularly in improving trust, communication, and accessibility.</w:t>
      </w:r>
    </w:p>
    <w:p w14:paraId="5F49BBE4" w14:textId="77777777" w:rsidR="000A7FC1" w:rsidRDefault="000A7FC1">
      <w:pPr>
        <w:rPr>
          <w:rFonts w:eastAsia="SimSun"/>
          <w:b/>
          <w:lang w:val="en-GB" w:eastAsia="zh-CN"/>
        </w:rPr>
      </w:pPr>
    </w:p>
    <w:p w14:paraId="7FC43E0F" w14:textId="77777777" w:rsidR="000A7FC1" w:rsidRDefault="000A7FC1">
      <w:pPr>
        <w:rPr>
          <w:rFonts w:eastAsia="SimSun"/>
          <w:b/>
          <w:lang w:val="en-GB" w:eastAsia="zh-CN"/>
        </w:rPr>
      </w:pPr>
    </w:p>
    <w:p w14:paraId="29517911" w14:textId="77777777" w:rsidR="000A7FC1" w:rsidRDefault="000A7FC1">
      <w:pPr>
        <w:rPr>
          <w:rFonts w:eastAsia="SimSun"/>
          <w:b/>
          <w:lang w:val="en-GB" w:eastAsia="zh-CN"/>
        </w:rPr>
      </w:pPr>
    </w:p>
    <w:p w14:paraId="156A2D66" w14:textId="77777777" w:rsidR="000A7FC1" w:rsidRDefault="000A7FC1">
      <w:pPr>
        <w:rPr>
          <w:rFonts w:eastAsia="SimSun"/>
          <w:b/>
          <w:lang w:val="en-GB" w:eastAsia="zh-CN"/>
        </w:rPr>
      </w:pPr>
    </w:p>
    <w:p w14:paraId="62417477" w14:textId="77777777" w:rsidR="000A7FC1" w:rsidRDefault="000A7FC1">
      <w:pPr>
        <w:rPr>
          <w:rFonts w:eastAsia="SimSun"/>
          <w:b/>
          <w:lang w:val="en-GB" w:eastAsia="zh-CN"/>
        </w:rPr>
      </w:pPr>
    </w:p>
    <w:p w14:paraId="090036A7" w14:textId="77777777" w:rsidR="000A7FC1" w:rsidRPr="000A7FC1" w:rsidRDefault="000A7FC1">
      <w:pPr>
        <w:rPr>
          <w:rFonts w:eastAsia="SimSun"/>
          <w:b/>
          <w:lang w:val="en-GB" w:eastAsia="zh-CN"/>
        </w:rPr>
      </w:pPr>
    </w:p>
    <w:p w14:paraId="6654F25B" w14:textId="77777777" w:rsidR="006B3F51" w:rsidRDefault="006B3F51">
      <w:pPr>
        <w:rPr>
          <w:rFonts w:eastAsia="SimSun"/>
          <w:bCs/>
          <w:lang w:eastAsia="zh-CN"/>
        </w:rPr>
      </w:pPr>
    </w:p>
    <w:p w14:paraId="44EBA824" w14:textId="3694B1B7" w:rsidR="006E14D4" w:rsidRPr="00AA0904" w:rsidRDefault="006E14D4" w:rsidP="006E14D4">
      <w:pPr>
        <w:pStyle w:val="Heading2"/>
        <w:rPr>
          <w:rFonts w:ascii="Arial" w:hAnsi="Arial" w:cs="Arial"/>
          <w:lang w:eastAsia="zh-CN"/>
        </w:rPr>
      </w:pPr>
      <w:r w:rsidRPr="00AA0904">
        <w:rPr>
          <w:rFonts w:ascii="Arial" w:hAnsi="Arial" w:cs="Arial"/>
          <w:lang w:eastAsia="zh-CN"/>
        </w:rPr>
        <w:lastRenderedPageBreak/>
        <w:t>Detailed results:</w:t>
      </w:r>
    </w:p>
    <w:p w14:paraId="1FD5ED24" w14:textId="77777777" w:rsidR="006E14D4" w:rsidRPr="006E14D4" w:rsidRDefault="006E14D4">
      <w:pPr>
        <w:rPr>
          <w:rFonts w:eastAsia="SimSun"/>
          <w:bCs/>
          <w:lang w:eastAsia="zh-CN"/>
        </w:rPr>
      </w:pPr>
    </w:p>
    <w:p w14:paraId="02E530F3" w14:textId="52A2BD3F" w:rsidR="006B3F51" w:rsidRPr="006E14D4" w:rsidRDefault="006B3F51">
      <w:pPr>
        <w:rPr>
          <w:rFonts w:eastAsia="SimSun"/>
          <w:bCs/>
          <w:lang w:eastAsia="zh-CN"/>
        </w:rPr>
      </w:pPr>
      <w:r w:rsidRPr="006E14D4">
        <w:rPr>
          <w:rFonts w:eastAsia="SimSun"/>
          <w:bCs/>
          <w:lang w:eastAsia="zh-CN"/>
        </w:rPr>
        <w:t xml:space="preserve">A total of 197 people responded to this </w:t>
      </w:r>
      <w:r w:rsidR="00514AED">
        <w:rPr>
          <w:rFonts w:eastAsia="SimSun" w:hint="eastAsia"/>
          <w:bCs/>
          <w:lang w:eastAsia="zh-CN"/>
        </w:rPr>
        <w:t>survey</w:t>
      </w:r>
      <w:r w:rsidRPr="006E14D4">
        <w:rPr>
          <w:rFonts w:eastAsia="SimSun"/>
          <w:bCs/>
          <w:lang w:eastAsia="zh-CN"/>
        </w:rPr>
        <w:t xml:space="preserve">. </w:t>
      </w:r>
      <w:r w:rsidR="006E14D4" w:rsidRPr="006E14D4">
        <w:rPr>
          <w:rFonts w:eastAsia="SimSun"/>
          <w:bCs/>
          <w:lang w:eastAsia="zh-CN"/>
        </w:rPr>
        <w:t>Most</w:t>
      </w:r>
      <w:r w:rsidRPr="006E14D4">
        <w:rPr>
          <w:rFonts w:eastAsia="SimSun"/>
          <w:bCs/>
          <w:lang w:eastAsia="zh-CN"/>
        </w:rPr>
        <w:t xml:space="preserve"> respondents (95%) took part in the consultation as residents of Oxford. A small number of responses came from local businesses (1.5%), community groups or residents' </w:t>
      </w:r>
      <w:proofErr w:type="spellStart"/>
      <w:r w:rsidRPr="006E14D4">
        <w:rPr>
          <w:rFonts w:eastAsia="SimSun"/>
          <w:bCs/>
          <w:lang w:eastAsia="zh-CN"/>
        </w:rPr>
        <w:t>organisations</w:t>
      </w:r>
      <w:proofErr w:type="spellEnd"/>
      <w:r w:rsidRPr="006E14D4">
        <w:rPr>
          <w:rFonts w:eastAsia="SimSun"/>
          <w:bCs/>
          <w:lang w:eastAsia="zh-CN"/>
        </w:rPr>
        <w:t xml:space="preserve"> (1.5%), and a local elected Member (0.5%). </w:t>
      </w:r>
    </w:p>
    <w:p w14:paraId="70D1D91F" w14:textId="77777777" w:rsidR="006B3F51" w:rsidRDefault="006B3F51">
      <w:pPr>
        <w:rPr>
          <w:rFonts w:eastAsia="SimSun"/>
          <w:b/>
          <w:lang w:eastAsia="zh-CN"/>
        </w:rPr>
      </w:pPr>
    </w:p>
    <w:p w14:paraId="17E1C4EF" w14:textId="77777777" w:rsidR="00AA0904" w:rsidRDefault="00AA0904" w:rsidP="00AA0904">
      <w:pPr>
        <w:pStyle w:val="Heading2"/>
      </w:pPr>
      <w:r>
        <w:t>The Policy outlines the principles guiding community engagement activities on pages 6 to 10. These include flexibility, proportionality, transparency and clarity, timeliness, feedback, inclusiveness and accessibility, and strengthening tenant voice. To what extent do you agree or disagree that these principles should underpin citizen and community engagement?</w:t>
      </w:r>
    </w:p>
    <w:p w14:paraId="5258131B" w14:textId="77777777" w:rsidR="00AA0904" w:rsidRDefault="00AA0904" w:rsidP="006B3F51">
      <w:pPr>
        <w:rPr>
          <w:rFonts w:eastAsia="SimSun"/>
          <w:b/>
          <w:bCs/>
          <w:u w:val="single"/>
          <w:lang w:eastAsia="zh-CN"/>
        </w:rPr>
      </w:pPr>
    </w:p>
    <w:p w14:paraId="3DE7153E" w14:textId="77777777" w:rsidR="00AA0904" w:rsidRDefault="00AA0904" w:rsidP="00AA0904">
      <w:r>
        <w:t>There were 194 responses to this part of the question.</w:t>
      </w:r>
    </w:p>
    <w:p w14:paraId="6526B494" w14:textId="77777777" w:rsidR="00AA0904" w:rsidRDefault="00AA0904" w:rsidP="00AA0904">
      <w:r>
        <w:rPr>
          <w:noProof/>
        </w:rPr>
        <w:drawing>
          <wp:inline distT="0" distB="0" distL="0" distR="0" wp14:anchorId="3BBDEF26" wp14:editId="008C5E0C">
            <wp:extent cx="5400000" cy="3311999"/>
            <wp:effectExtent l="0" t="0" r="0" b="0"/>
            <wp:docPr id="441721699" name="Chart 441721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LightGrid-Accent1"/>
        <w:tblW w:w="0" w:type="auto"/>
        <w:tblLook w:val="04A0" w:firstRow="1" w:lastRow="0" w:firstColumn="1" w:lastColumn="0" w:noHBand="0" w:noVBand="1"/>
      </w:tblPr>
      <w:tblGrid>
        <w:gridCol w:w="6353"/>
        <w:gridCol w:w="1133"/>
        <w:gridCol w:w="1134"/>
      </w:tblGrid>
      <w:tr w:rsidR="00AA0904" w14:paraId="13C767F9" w14:textId="77777777" w:rsidTr="008B41A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8EA6F6E" w14:textId="77777777" w:rsidR="00AA0904" w:rsidRDefault="00AA0904" w:rsidP="008B41A9">
            <w:r>
              <w:t>Option</w:t>
            </w:r>
          </w:p>
        </w:tc>
        <w:tc>
          <w:tcPr>
            <w:tcW w:w="1134" w:type="dxa"/>
          </w:tcPr>
          <w:p w14:paraId="74C18462"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3F0090FF"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Percent</w:t>
            </w:r>
          </w:p>
        </w:tc>
      </w:tr>
      <w:tr w:rsidR="00AA0904" w14:paraId="50FF4933"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3EC6D0F" w14:textId="77777777" w:rsidR="00AA0904" w:rsidRDefault="00AA0904" w:rsidP="008B41A9">
            <w:r>
              <w:t>Strongly agree</w:t>
            </w:r>
          </w:p>
        </w:tc>
        <w:tc>
          <w:tcPr>
            <w:tcW w:w="1134" w:type="dxa"/>
          </w:tcPr>
          <w:p w14:paraId="0020BBBC"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73</w:t>
            </w:r>
          </w:p>
        </w:tc>
        <w:tc>
          <w:tcPr>
            <w:tcW w:w="1134" w:type="dxa"/>
          </w:tcPr>
          <w:p w14:paraId="02CEC243"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37.06%</w:t>
            </w:r>
          </w:p>
        </w:tc>
      </w:tr>
      <w:tr w:rsidR="00AA0904" w14:paraId="2D961D71"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CA80EF7" w14:textId="77777777" w:rsidR="00AA0904" w:rsidRDefault="00AA0904" w:rsidP="008B41A9">
            <w:r>
              <w:t>Agree</w:t>
            </w:r>
          </w:p>
        </w:tc>
        <w:tc>
          <w:tcPr>
            <w:tcW w:w="1134" w:type="dxa"/>
          </w:tcPr>
          <w:p w14:paraId="065317C4"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87</w:t>
            </w:r>
          </w:p>
        </w:tc>
        <w:tc>
          <w:tcPr>
            <w:tcW w:w="1134" w:type="dxa"/>
          </w:tcPr>
          <w:p w14:paraId="3CC35B66"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44.16%</w:t>
            </w:r>
          </w:p>
        </w:tc>
      </w:tr>
      <w:tr w:rsidR="00AA0904" w14:paraId="5BA081EB"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2F4332B" w14:textId="77777777" w:rsidR="00AA0904" w:rsidRDefault="00AA0904" w:rsidP="008B41A9">
            <w:r>
              <w:t>Neither agree nor disagree</w:t>
            </w:r>
          </w:p>
        </w:tc>
        <w:tc>
          <w:tcPr>
            <w:tcW w:w="1134" w:type="dxa"/>
          </w:tcPr>
          <w:p w14:paraId="1D5BDE87"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24</w:t>
            </w:r>
          </w:p>
        </w:tc>
        <w:tc>
          <w:tcPr>
            <w:tcW w:w="1134" w:type="dxa"/>
          </w:tcPr>
          <w:p w14:paraId="687495B7"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12.18%</w:t>
            </w:r>
          </w:p>
        </w:tc>
      </w:tr>
      <w:tr w:rsidR="00AA0904" w14:paraId="6C254EA2"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7A4F88D" w14:textId="77777777" w:rsidR="00AA0904" w:rsidRDefault="00AA0904" w:rsidP="008B41A9">
            <w:r>
              <w:t>Disagree</w:t>
            </w:r>
          </w:p>
        </w:tc>
        <w:tc>
          <w:tcPr>
            <w:tcW w:w="1134" w:type="dxa"/>
          </w:tcPr>
          <w:p w14:paraId="4EE00D71"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6</w:t>
            </w:r>
          </w:p>
        </w:tc>
        <w:tc>
          <w:tcPr>
            <w:tcW w:w="1134" w:type="dxa"/>
          </w:tcPr>
          <w:p w14:paraId="04708830"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3.05%</w:t>
            </w:r>
          </w:p>
        </w:tc>
      </w:tr>
      <w:tr w:rsidR="00AA0904" w14:paraId="75B6E2FB"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E469BB4" w14:textId="77777777" w:rsidR="00AA0904" w:rsidRDefault="00AA0904" w:rsidP="008B41A9">
            <w:r>
              <w:t>Strongly disagree</w:t>
            </w:r>
          </w:p>
        </w:tc>
        <w:tc>
          <w:tcPr>
            <w:tcW w:w="1134" w:type="dxa"/>
          </w:tcPr>
          <w:p w14:paraId="25D0362A"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4</w:t>
            </w:r>
          </w:p>
        </w:tc>
        <w:tc>
          <w:tcPr>
            <w:tcW w:w="1134" w:type="dxa"/>
          </w:tcPr>
          <w:p w14:paraId="3FBAA0C8"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2.03%</w:t>
            </w:r>
          </w:p>
        </w:tc>
      </w:tr>
      <w:tr w:rsidR="00AA0904" w14:paraId="5FD9A5E3"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42EBE95" w14:textId="77777777" w:rsidR="00AA0904" w:rsidRDefault="00AA0904" w:rsidP="008B41A9">
            <w:r>
              <w:lastRenderedPageBreak/>
              <w:t>Not Answered</w:t>
            </w:r>
          </w:p>
        </w:tc>
        <w:tc>
          <w:tcPr>
            <w:tcW w:w="1134" w:type="dxa"/>
          </w:tcPr>
          <w:p w14:paraId="1052164D"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w:t>
            </w:r>
          </w:p>
        </w:tc>
        <w:tc>
          <w:tcPr>
            <w:tcW w:w="1134" w:type="dxa"/>
          </w:tcPr>
          <w:p w14:paraId="382E35FB"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1.52%</w:t>
            </w:r>
          </w:p>
        </w:tc>
      </w:tr>
    </w:tbl>
    <w:p w14:paraId="59AE179B" w14:textId="77777777" w:rsidR="00AA0904" w:rsidRDefault="00AA0904" w:rsidP="006B3F51">
      <w:pPr>
        <w:rPr>
          <w:rFonts w:eastAsia="SimSun"/>
          <w:b/>
          <w:bCs/>
          <w:u w:val="single"/>
          <w:lang w:eastAsia="zh-CN"/>
        </w:rPr>
      </w:pPr>
    </w:p>
    <w:p w14:paraId="64B0BC6E" w14:textId="77777777" w:rsidR="00AA0904" w:rsidRDefault="00AA0904" w:rsidP="00AA0904">
      <w:pPr>
        <w:pStyle w:val="Heading2"/>
      </w:pPr>
      <w:r>
        <w:t xml:space="preserve">Oxford City Council is committed to involving residents in its decision-making process. How important do you think it is for residents to be involved in decisions that affect them or their </w:t>
      </w:r>
      <w:proofErr w:type="spellStart"/>
      <w:r>
        <w:t>neighbourhood</w:t>
      </w:r>
      <w:proofErr w:type="spellEnd"/>
      <w:r>
        <w:t>?</w:t>
      </w:r>
    </w:p>
    <w:p w14:paraId="4013B672" w14:textId="77777777" w:rsidR="00AA0904" w:rsidRDefault="00AA0904" w:rsidP="00AA0904">
      <w:pPr>
        <w:rPr>
          <w:b/>
        </w:rPr>
      </w:pPr>
    </w:p>
    <w:p w14:paraId="2164F495" w14:textId="76373C5D" w:rsidR="00AA0904" w:rsidRDefault="00AA0904" w:rsidP="00AA0904">
      <w:r>
        <w:t>There were 197 responses to this part of the question.</w:t>
      </w:r>
    </w:p>
    <w:p w14:paraId="3907AB28" w14:textId="77777777" w:rsidR="00AA0904" w:rsidRDefault="00AA0904" w:rsidP="00AA0904">
      <w:r>
        <w:rPr>
          <w:noProof/>
        </w:rPr>
        <w:drawing>
          <wp:inline distT="0" distB="0" distL="0" distR="0" wp14:anchorId="7C38F40A" wp14:editId="2FF71AFF">
            <wp:extent cx="5400000" cy="2015999"/>
            <wp:effectExtent l="0" t="0" r="0" b="0"/>
            <wp:docPr id="1704719570" name="Chart 17047195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LightGrid-Accent1"/>
        <w:tblW w:w="0" w:type="auto"/>
        <w:tblLook w:val="04A0" w:firstRow="1" w:lastRow="0" w:firstColumn="1" w:lastColumn="0" w:noHBand="0" w:noVBand="1"/>
      </w:tblPr>
      <w:tblGrid>
        <w:gridCol w:w="6353"/>
        <w:gridCol w:w="1133"/>
        <w:gridCol w:w="1134"/>
      </w:tblGrid>
      <w:tr w:rsidR="00AA0904" w14:paraId="66C098E5" w14:textId="77777777" w:rsidTr="008B41A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63DEBC1" w14:textId="77777777" w:rsidR="00AA0904" w:rsidRDefault="00AA0904" w:rsidP="008B41A9">
            <w:r>
              <w:t>Option</w:t>
            </w:r>
          </w:p>
        </w:tc>
        <w:tc>
          <w:tcPr>
            <w:tcW w:w="1134" w:type="dxa"/>
          </w:tcPr>
          <w:p w14:paraId="408A3D3B"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125BCC7D"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Percent</w:t>
            </w:r>
          </w:p>
        </w:tc>
      </w:tr>
      <w:tr w:rsidR="00AA0904" w14:paraId="68C45906"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5B67FF5" w14:textId="77777777" w:rsidR="00AA0904" w:rsidRDefault="00AA0904" w:rsidP="008B41A9">
            <w:r>
              <w:t>Extremely important</w:t>
            </w:r>
          </w:p>
        </w:tc>
        <w:tc>
          <w:tcPr>
            <w:tcW w:w="1134" w:type="dxa"/>
          </w:tcPr>
          <w:p w14:paraId="455789A9"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137</w:t>
            </w:r>
          </w:p>
        </w:tc>
        <w:tc>
          <w:tcPr>
            <w:tcW w:w="1134" w:type="dxa"/>
          </w:tcPr>
          <w:p w14:paraId="4A48DFF3"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69.54%</w:t>
            </w:r>
          </w:p>
        </w:tc>
      </w:tr>
      <w:tr w:rsidR="00AA0904" w14:paraId="14188162"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F981CA9" w14:textId="77777777" w:rsidR="00AA0904" w:rsidRDefault="00AA0904" w:rsidP="008B41A9">
            <w:r>
              <w:t>Very important</w:t>
            </w:r>
          </w:p>
        </w:tc>
        <w:tc>
          <w:tcPr>
            <w:tcW w:w="1134" w:type="dxa"/>
          </w:tcPr>
          <w:p w14:paraId="1990654D"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46</w:t>
            </w:r>
          </w:p>
        </w:tc>
        <w:tc>
          <w:tcPr>
            <w:tcW w:w="1134" w:type="dxa"/>
          </w:tcPr>
          <w:p w14:paraId="538AEFA5"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23.35%</w:t>
            </w:r>
          </w:p>
        </w:tc>
      </w:tr>
      <w:tr w:rsidR="00AA0904" w14:paraId="07A557FA"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B284A6C" w14:textId="77777777" w:rsidR="00AA0904" w:rsidRDefault="00AA0904" w:rsidP="008B41A9">
            <w:r>
              <w:t>Moderately important</w:t>
            </w:r>
          </w:p>
        </w:tc>
        <w:tc>
          <w:tcPr>
            <w:tcW w:w="1134" w:type="dxa"/>
          </w:tcPr>
          <w:p w14:paraId="23BBBF18"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14</w:t>
            </w:r>
          </w:p>
        </w:tc>
        <w:tc>
          <w:tcPr>
            <w:tcW w:w="1134" w:type="dxa"/>
          </w:tcPr>
          <w:p w14:paraId="749EB57C"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7.11%</w:t>
            </w:r>
          </w:p>
        </w:tc>
      </w:tr>
      <w:tr w:rsidR="00AA0904" w14:paraId="6B153294"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D2CC418" w14:textId="77777777" w:rsidR="00AA0904" w:rsidRDefault="00AA0904" w:rsidP="008B41A9">
            <w:r>
              <w:t>Slightly important</w:t>
            </w:r>
          </w:p>
        </w:tc>
        <w:tc>
          <w:tcPr>
            <w:tcW w:w="1134" w:type="dxa"/>
          </w:tcPr>
          <w:p w14:paraId="696BC859"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66F1F371"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0.00%</w:t>
            </w:r>
          </w:p>
        </w:tc>
      </w:tr>
      <w:tr w:rsidR="00AA0904" w14:paraId="3F96F193"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74253A0" w14:textId="77777777" w:rsidR="00AA0904" w:rsidRDefault="00AA0904" w:rsidP="008B41A9">
            <w:r>
              <w:t>Not at all important</w:t>
            </w:r>
          </w:p>
        </w:tc>
        <w:tc>
          <w:tcPr>
            <w:tcW w:w="1134" w:type="dxa"/>
          </w:tcPr>
          <w:p w14:paraId="368EDE58"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21F498CF"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0.00%</w:t>
            </w:r>
          </w:p>
        </w:tc>
      </w:tr>
      <w:tr w:rsidR="00AA0904" w14:paraId="390E7F5D"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CBE6CF8" w14:textId="77777777" w:rsidR="00AA0904" w:rsidRDefault="00AA0904" w:rsidP="008B41A9">
            <w:r>
              <w:t>Not Answered</w:t>
            </w:r>
          </w:p>
        </w:tc>
        <w:tc>
          <w:tcPr>
            <w:tcW w:w="1134" w:type="dxa"/>
          </w:tcPr>
          <w:p w14:paraId="50673465"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2251D96A"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0.00%</w:t>
            </w:r>
          </w:p>
        </w:tc>
      </w:tr>
    </w:tbl>
    <w:p w14:paraId="6BA89849" w14:textId="77777777" w:rsidR="00AA0904" w:rsidRDefault="00AA0904" w:rsidP="006B3F51">
      <w:pPr>
        <w:rPr>
          <w:rFonts w:eastAsia="SimSun"/>
          <w:b/>
          <w:bCs/>
          <w:u w:val="single"/>
          <w:lang w:eastAsia="zh-CN"/>
        </w:rPr>
      </w:pPr>
    </w:p>
    <w:p w14:paraId="35549D94" w14:textId="77777777" w:rsidR="00AA0904" w:rsidRDefault="00AA0904" w:rsidP="00AA0904">
      <w:pPr>
        <w:pStyle w:val="Heading2"/>
      </w:pPr>
      <w:r>
        <w:t xml:space="preserve">In which of the following ways, if any, have you been involved in decisions that affect you or your </w:t>
      </w:r>
      <w:proofErr w:type="spellStart"/>
      <w:r>
        <w:t>neighbourhood</w:t>
      </w:r>
      <w:proofErr w:type="spellEnd"/>
      <w:r>
        <w:t xml:space="preserve">? </w:t>
      </w:r>
    </w:p>
    <w:p w14:paraId="23348803" w14:textId="77777777" w:rsidR="00AA0904" w:rsidRDefault="00AA0904" w:rsidP="00AA0904">
      <w:r>
        <w:t>There were 197 responses to this part of the question.</w:t>
      </w:r>
    </w:p>
    <w:p w14:paraId="31528DBE" w14:textId="77777777" w:rsidR="00AA0904" w:rsidRDefault="00AA0904" w:rsidP="00AA0904">
      <w:r>
        <w:rPr>
          <w:noProof/>
        </w:rPr>
        <w:lastRenderedPageBreak/>
        <w:drawing>
          <wp:inline distT="0" distB="0" distL="0" distR="0" wp14:anchorId="7102479F" wp14:editId="7F828808">
            <wp:extent cx="5400000" cy="5040000"/>
            <wp:effectExtent l="0" t="0" r="0" b="0"/>
            <wp:docPr id="1454147034" name="Chart 14541470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LightGrid-Accent1"/>
        <w:tblW w:w="0" w:type="auto"/>
        <w:tblLook w:val="04A0" w:firstRow="1" w:lastRow="0" w:firstColumn="1" w:lastColumn="0" w:noHBand="0" w:noVBand="1"/>
      </w:tblPr>
      <w:tblGrid>
        <w:gridCol w:w="6353"/>
        <w:gridCol w:w="1133"/>
        <w:gridCol w:w="1134"/>
      </w:tblGrid>
      <w:tr w:rsidR="00AA0904" w14:paraId="05CDC919" w14:textId="77777777" w:rsidTr="008B41A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71483C5" w14:textId="77777777" w:rsidR="00AA0904" w:rsidRDefault="00AA0904" w:rsidP="008B41A9">
            <w:r>
              <w:t>Option</w:t>
            </w:r>
          </w:p>
        </w:tc>
        <w:tc>
          <w:tcPr>
            <w:tcW w:w="1134" w:type="dxa"/>
          </w:tcPr>
          <w:p w14:paraId="790FFCEC"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7566DA33"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Percent</w:t>
            </w:r>
          </w:p>
        </w:tc>
      </w:tr>
      <w:tr w:rsidR="00AA0904" w14:paraId="38990D6A"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2A86D38" w14:textId="77777777" w:rsidR="00AA0904" w:rsidRDefault="00AA0904" w:rsidP="008B41A9">
            <w:r>
              <w:t>Being a member of the Residents’ Panel</w:t>
            </w:r>
          </w:p>
        </w:tc>
        <w:tc>
          <w:tcPr>
            <w:tcW w:w="1134" w:type="dxa"/>
          </w:tcPr>
          <w:p w14:paraId="5272CC78"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115</w:t>
            </w:r>
          </w:p>
        </w:tc>
        <w:tc>
          <w:tcPr>
            <w:tcW w:w="1134" w:type="dxa"/>
          </w:tcPr>
          <w:p w14:paraId="191AEA3E"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58.38%</w:t>
            </w:r>
          </w:p>
        </w:tc>
      </w:tr>
      <w:tr w:rsidR="00AA0904" w14:paraId="06B3E5C0"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2A45A85" w14:textId="77777777" w:rsidR="00AA0904" w:rsidRDefault="00AA0904" w:rsidP="008B41A9">
            <w:r>
              <w:t>Taking part in the Annual Residents’ Survey</w:t>
            </w:r>
          </w:p>
        </w:tc>
        <w:tc>
          <w:tcPr>
            <w:tcW w:w="1134" w:type="dxa"/>
          </w:tcPr>
          <w:p w14:paraId="5631974D"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88</w:t>
            </w:r>
          </w:p>
        </w:tc>
        <w:tc>
          <w:tcPr>
            <w:tcW w:w="1134" w:type="dxa"/>
          </w:tcPr>
          <w:p w14:paraId="47864FE5"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44.67%</w:t>
            </w:r>
          </w:p>
        </w:tc>
      </w:tr>
      <w:tr w:rsidR="00AA0904" w14:paraId="2738723D"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E81BD42" w14:textId="77777777" w:rsidR="00AA0904" w:rsidRDefault="00AA0904" w:rsidP="008B41A9">
            <w:r>
              <w:t>Participating in online surveys or research</w:t>
            </w:r>
          </w:p>
        </w:tc>
        <w:tc>
          <w:tcPr>
            <w:tcW w:w="1134" w:type="dxa"/>
          </w:tcPr>
          <w:p w14:paraId="124663E6"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149</w:t>
            </w:r>
          </w:p>
        </w:tc>
        <w:tc>
          <w:tcPr>
            <w:tcW w:w="1134" w:type="dxa"/>
          </w:tcPr>
          <w:p w14:paraId="317316A4"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75.63%</w:t>
            </w:r>
          </w:p>
        </w:tc>
      </w:tr>
      <w:tr w:rsidR="00AA0904" w14:paraId="5EA89CA1"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3B834DC6" w14:textId="77777777" w:rsidR="00AA0904" w:rsidRDefault="00AA0904" w:rsidP="008B41A9">
            <w:r>
              <w:t xml:space="preserve">Attending local meetings (e.g., at community </w:t>
            </w:r>
            <w:proofErr w:type="spellStart"/>
            <w:r>
              <w:t>centres</w:t>
            </w:r>
            <w:proofErr w:type="spellEnd"/>
            <w:r>
              <w:t>)</w:t>
            </w:r>
          </w:p>
        </w:tc>
        <w:tc>
          <w:tcPr>
            <w:tcW w:w="1134" w:type="dxa"/>
          </w:tcPr>
          <w:p w14:paraId="374B86F0"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65</w:t>
            </w:r>
          </w:p>
        </w:tc>
        <w:tc>
          <w:tcPr>
            <w:tcW w:w="1134" w:type="dxa"/>
          </w:tcPr>
          <w:p w14:paraId="67846F24"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32.99%</w:t>
            </w:r>
          </w:p>
        </w:tc>
      </w:tr>
      <w:tr w:rsidR="00AA0904" w14:paraId="29614A52" w14:textId="77777777" w:rsidTr="008B41A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058DC38E" w14:textId="77777777" w:rsidR="00AA0904" w:rsidRDefault="00AA0904" w:rsidP="008B41A9">
            <w:r>
              <w:t>Taking part in postal or face-to-face surveys or research</w:t>
            </w:r>
          </w:p>
        </w:tc>
        <w:tc>
          <w:tcPr>
            <w:tcW w:w="1134" w:type="dxa"/>
          </w:tcPr>
          <w:p w14:paraId="2A93C3C1"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32</w:t>
            </w:r>
          </w:p>
        </w:tc>
        <w:tc>
          <w:tcPr>
            <w:tcW w:w="1134" w:type="dxa"/>
          </w:tcPr>
          <w:p w14:paraId="01C97A31"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16.24%</w:t>
            </w:r>
          </w:p>
        </w:tc>
      </w:tr>
      <w:tr w:rsidR="00AA0904" w14:paraId="3B352ABE"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146CFF31" w14:textId="77777777" w:rsidR="00AA0904" w:rsidRDefault="00AA0904" w:rsidP="008B41A9">
            <w:r>
              <w:t>Engaging via social media (e.g., Twitter, Facebook, TikTok, Instagram, etc.)</w:t>
            </w:r>
          </w:p>
        </w:tc>
        <w:tc>
          <w:tcPr>
            <w:tcW w:w="1134" w:type="dxa"/>
          </w:tcPr>
          <w:p w14:paraId="3486A549"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35</w:t>
            </w:r>
          </w:p>
        </w:tc>
        <w:tc>
          <w:tcPr>
            <w:tcW w:w="1134" w:type="dxa"/>
          </w:tcPr>
          <w:p w14:paraId="2C7FBAFC"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17.77%</w:t>
            </w:r>
          </w:p>
        </w:tc>
      </w:tr>
      <w:tr w:rsidR="00AA0904" w14:paraId="27BCC1A6"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1B582A9" w14:textId="77777777" w:rsidR="00AA0904" w:rsidRDefault="00AA0904" w:rsidP="008B41A9">
            <w:r>
              <w:t xml:space="preserve">Speaking with my local </w:t>
            </w:r>
            <w:proofErr w:type="spellStart"/>
            <w:r>
              <w:t>councillor</w:t>
            </w:r>
            <w:proofErr w:type="spellEnd"/>
          </w:p>
        </w:tc>
        <w:tc>
          <w:tcPr>
            <w:tcW w:w="1134" w:type="dxa"/>
          </w:tcPr>
          <w:p w14:paraId="2B623362"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96</w:t>
            </w:r>
          </w:p>
        </w:tc>
        <w:tc>
          <w:tcPr>
            <w:tcW w:w="1134" w:type="dxa"/>
          </w:tcPr>
          <w:p w14:paraId="715A13F6"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48.73%</w:t>
            </w:r>
          </w:p>
        </w:tc>
      </w:tr>
      <w:tr w:rsidR="00AA0904" w14:paraId="0D46B881"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0F5DCBC2" w14:textId="77777777" w:rsidR="00AA0904" w:rsidRDefault="00AA0904" w:rsidP="008B41A9">
            <w:r>
              <w:t>Attending council meetings (e.g., Full Council, Cabinet, Planning Committee, etc.)</w:t>
            </w:r>
          </w:p>
        </w:tc>
        <w:tc>
          <w:tcPr>
            <w:tcW w:w="1134" w:type="dxa"/>
          </w:tcPr>
          <w:p w14:paraId="1C5E8BC6"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17</w:t>
            </w:r>
          </w:p>
        </w:tc>
        <w:tc>
          <w:tcPr>
            <w:tcW w:w="1134" w:type="dxa"/>
          </w:tcPr>
          <w:p w14:paraId="7224EA8B"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8.63%</w:t>
            </w:r>
          </w:p>
        </w:tc>
      </w:tr>
      <w:tr w:rsidR="00AA0904" w14:paraId="003E51E0"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D20F6D1" w14:textId="77777777" w:rsidR="00AA0904" w:rsidRDefault="00AA0904" w:rsidP="008B41A9">
            <w:r>
              <w:t>Other</w:t>
            </w:r>
          </w:p>
        </w:tc>
        <w:tc>
          <w:tcPr>
            <w:tcW w:w="1134" w:type="dxa"/>
          </w:tcPr>
          <w:p w14:paraId="24A9947B"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22</w:t>
            </w:r>
          </w:p>
        </w:tc>
        <w:tc>
          <w:tcPr>
            <w:tcW w:w="1134" w:type="dxa"/>
          </w:tcPr>
          <w:p w14:paraId="18B20389"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11.17%</w:t>
            </w:r>
          </w:p>
        </w:tc>
      </w:tr>
      <w:tr w:rsidR="00AA0904" w14:paraId="16B07F89"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71D7AD34" w14:textId="77777777" w:rsidR="00AA0904" w:rsidRDefault="00AA0904" w:rsidP="008B41A9">
            <w:r>
              <w:lastRenderedPageBreak/>
              <w:t>I haven’t been involved in any decision-making activities</w:t>
            </w:r>
          </w:p>
        </w:tc>
        <w:tc>
          <w:tcPr>
            <w:tcW w:w="1134" w:type="dxa"/>
          </w:tcPr>
          <w:p w14:paraId="7A1C91E2"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6</w:t>
            </w:r>
          </w:p>
        </w:tc>
        <w:tc>
          <w:tcPr>
            <w:tcW w:w="1134" w:type="dxa"/>
          </w:tcPr>
          <w:p w14:paraId="35158C34"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3.05%</w:t>
            </w:r>
          </w:p>
        </w:tc>
      </w:tr>
      <w:tr w:rsidR="00AA0904" w14:paraId="3D0B2E76"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C1959AE" w14:textId="77777777" w:rsidR="00AA0904" w:rsidRDefault="00AA0904" w:rsidP="008B41A9">
            <w:r>
              <w:t>Not Answered</w:t>
            </w:r>
          </w:p>
        </w:tc>
        <w:tc>
          <w:tcPr>
            <w:tcW w:w="1134" w:type="dxa"/>
          </w:tcPr>
          <w:p w14:paraId="43921073"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558DD402"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0.00%</w:t>
            </w:r>
          </w:p>
        </w:tc>
      </w:tr>
    </w:tbl>
    <w:p w14:paraId="1D648BD1" w14:textId="77777777" w:rsidR="00AA0904" w:rsidRDefault="00AA0904" w:rsidP="006B3F51">
      <w:pPr>
        <w:rPr>
          <w:rFonts w:eastAsia="SimSun"/>
          <w:b/>
          <w:bCs/>
          <w:u w:val="single"/>
          <w:lang w:eastAsia="zh-CN"/>
        </w:rPr>
      </w:pPr>
    </w:p>
    <w:p w14:paraId="422810B9" w14:textId="77777777" w:rsidR="00AA0904" w:rsidRPr="00AA0904" w:rsidRDefault="00AA0904" w:rsidP="006B3F51">
      <w:pPr>
        <w:rPr>
          <w:rFonts w:eastAsia="SimSun"/>
          <w:b/>
          <w:bCs/>
          <w:u w:val="single"/>
          <w:lang w:eastAsia="zh-CN"/>
        </w:rPr>
      </w:pPr>
    </w:p>
    <w:p w14:paraId="0A09AF26" w14:textId="77777777" w:rsidR="00AA0904" w:rsidRDefault="00AA0904" w:rsidP="00AA0904">
      <w:pPr>
        <w:pStyle w:val="Heading2"/>
      </w:pPr>
      <w:r>
        <w:t xml:space="preserve">What do you feel are the barriers, if any, to getting involved in the decision-making process? </w:t>
      </w:r>
    </w:p>
    <w:p w14:paraId="46E4B90F" w14:textId="77777777" w:rsidR="00AA0904" w:rsidRDefault="00AA0904" w:rsidP="00AA0904">
      <w:r>
        <w:t>There were 196 responses to this part of the question.</w:t>
      </w:r>
    </w:p>
    <w:p w14:paraId="4F9C44C6" w14:textId="77777777" w:rsidR="00AA0904" w:rsidRDefault="00AA0904" w:rsidP="00AA0904">
      <w:r>
        <w:rPr>
          <w:noProof/>
        </w:rPr>
        <w:drawing>
          <wp:inline distT="0" distB="0" distL="0" distR="0" wp14:anchorId="3A4DC477" wp14:editId="5476EE4F">
            <wp:extent cx="5400000" cy="5472000"/>
            <wp:effectExtent l="0" t="0" r="0" b="0"/>
            <wp:docPr id="2138736909" name="Chart 21387369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LightGrid-Accent1"/>
        <w:tblW w:w="0" w:type="auto"/>
        <w:tblLook w:val="04A0" w:firstRow="1" w:lastRow="0" w:firstColumn="1" w:lastColumn="0" w:noHBand="0" w:noVBand="1"/>
      </w:tblPr>
      <w:tblGrid>
        <w:gridCol w:w="6354"/>
        <w:gridCol w:w="1132"/>
        <w:gridCol w:w="1134"/>
      </w:tblGrid>
      <w:tr w:rsidR="00AA0904" w14:paraId="16E52741" w14:textId="77777777" w:rsidTr="008B41A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9072EFB" w14:textId="77777777" w:rsidR="00AA0904" w:rsidRDefault="00AA0904" w:rsidP="008B41A9">
            <w:r>
              <w:t>Option</w:t>
            </w:r>
          </w:p>
        </w:tc>
        <w:tc>
          <w:tcPr>
            <w:tcW w:w="1134" w:type="dxa"/>
          </w:tcPr>
          <w:p w14:paraId="63A21EDC"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5D86C94B" w14:textId="77777777" w:rsidR="00AA0904" w:rsidRDefault="00AA0904" w:rsidP="008B41A9">
            <w:pPr>
              <w:cnfStyle w:val="100000000000" w:firstRow="1" w:lastRow="0" w:firstColumn="0" w:lastColumn="0" w:oddVBand="0" w:evenVBand="0" w:oddHBand="0" w:evenHBand="0" w:firstRowFirstColumn="0" w:firstRowLastColumn="0" w:lastRowFirstColumn="0" w:lastRowLastColumn="0"/>
            </w:pPr>
            <w:r>
              <w:t>Percent</w:t>
            </w:r>
          </w:p>
        </w:tc>
      </w:tr>
      <w:tr w:rsidR="00AA0904" w14:paraId="79103061"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01F9664" w14:textId="77777777" w:rsidR="00AA0904" w:rsidRDefault="00AA0904" w:rsidP="008B41A9">
            <w:r>
              <w:t>Lack of time</w:t>
            </w:r>
          </w:p>
        </w:tc>
        <w:tc>
          <w:tcPr>
            <w:tcW w:w="1134" w:type="dxa"/>
          </w:tcPr>
          <w:p w14:paraId="06D979DC"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75</w:t>
            </w:r>
          </w:p>
        </w:tc>
        <w:tc>
          <w:tcPr>
            <w:tcW w:w="1134" w:type="dxa"/>
          </w:tcPr>
          <w:p w14:paraId="6024A664"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38.07%</w:t>
            </w:r>
          </w:p>
        </w:tc>
      </w:tr>
      <w:tr w:rsidR="00AA0904" w14:paraId="3EA18DB6"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7D1CE236" w14:textId="77777777" w:rsidR="00AA0904" w:rsidRDefault="00AA0904" w:rsidP="008B41A9">
            <w:r>
              <w:lastRenderedPageBreak/>
              <w:t>Not knowing enough about the issues being discussed</w:t>
            </w:r>
          </w:p>
        </w:tc>
        <w:tc>
          <w:tcPr>
            <w:tcW w:w="1134" w:type="dxa"/>
          </w:tcPr>
          <w:p w14:paraId="581F1DE3"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77</w:t>
            </w:r>
          </w:p>
        </w:tc>
        <w:tc>
          <w:tcPr>
            <w:tcW w:w="1134" w:type="dxa"/>
          </w:tcPr>
          <w:p w14:paraId="3CCA7970"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39.09%</w:t>
            </w:r>
          </w:p>
        </w:tc>
      </w:tr>
      <w:tr w:rsidR="00AA0904" w14:paraId="3E4A1F93" w14:textId="77777777" w:rsidTr="008B41A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56C658A8" w14:textId="77777777" w:rsidR="00AA0904" w:rsidRDefault="00AA0904" w:rsidP="008B41A9">
            <w:r>
              <w:t>Meetings/events held at inconvenient times or locations</w:t>
            </w:r>
          </w:p>
        </w:tc>
        <w:tc>
          <w:tcPr>
            <w:tcW w:w="1134" w:type="dxa"/>
          </w:tcPr>
          <w:p w14:paraId="12440132"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59</w:t>
            </w:r>
          </w:p>
        </w:tc>
        <w:tc>
          <w:tcPr>
            <w:tcW w:w="1134" w:type="dxa"/>
          </w:tcPr>
          <w:p w14:paraId="55EE9EAC"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29.95%</w:t>
            </w:r>
          </w:p>
        </w:tc>
      </w:tr>
      <w:tr w:rsidR="00AA0904" w14:paraId="38EA60D0"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CAA243E" w14:textId="77777777" w:rsidR="00AA0904" w:rsidRDefault="00AA0904" w:rsidP="008B41A9">
            <w:r>
              <w:t>Unsure about how to get involved</w:t>
            </w:r>
          </w:p>
        </w:tc>
        <w:tc>
          <w:tcPr>
            <w:tcW w:w="1134" w:type="dxa"/>
          </w:tcPr>
          <w:p w14:paraId="663D3031"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56</w:t>
            </w:r>
          </w:p>
        </w:tc>
        <w:tc>
          <w:tcPr>
            <w:tcW w:w="1134" w:type="dxa"/>
          </w:tcPr>
          <w:p w14:paraId="546EC78D"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28.43%</w:t>
            </w:r>
          </w:p>
        </w:tc>
      </w:tr>
      <w:tr w:rsidR="00AA0904" w14:paraId="6214487D" w14:textId="77777777" w:rsidTr="008B41A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1290D751" w14:textId="77777777" w:rsidR="00AA0904" w:rsidRDefault="00AA0904" w:rsidP="008B41A9">
            <w:r>
              <w:t>Health issues (e.g., physical or mental health challenges preventing attendance)</w:t>
            </w:r>
          </w:p>
        </w:tc>
        <w:tc>
          <w:tcPr>
            <w:tcW w:w="1134" w:type="dxa"/>
          </w:tcPr>
          <w:p w14:paraId="59A10A67"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19</w:t>
            </w:r>
          </w:p>
        </w:tc>
        <w:tc>
          <w:tcPr>
            <w:tcW w:w="1134" w:type="dxa"/>
          </w:tcPr>
          <w:p w14:paraId="1218F24E"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9.64%</w:t>
            </w:r>
          </w:p>
        </w:tc>
      </w:tr>
      <w:tr w:rsidR="00AA0904" w14:paraId="299ACA50" w14:textId="77777777" w:rsidTr="008B41A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F2DDF6B" w14:textId="77777777" w:rsidR="00AA0904" w:rsidRDefault="00AA0904" w:rsidP="008B41A9">
            <w:r>
              <w:t>Lack of access to a computer or the internet</w:t>
            </w:r>
          </w:p>
        </w:tc>
        <w:tc>
          <w:tcPr>
            <w:tcW w:w="1134" w:type="dxa"/>
          </w:tcPr>
          <w:p w14:paraId="5DE0D6F3"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8</w:t>
            </w:r>
          </w:p>
        </w:tc>
        <w:tc>
          <w:tcPr>
            <w:tcW w:w="1134" w:type="dxa"/>
          </w:tcPr>
          <w:p w14:paraId="15A30245"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4.06%</w:t>
            </w:r>
          </w:p>
        </w:tc>
      </w:tr>
      <w:tr w:rsidR="00AA0904" w14:paraId="3A037897"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2503036" w14:textId="77777777" w:rsidR="00AA0904" w:rsidRDefault="00AA0904" w:rsidP="008B41A9">
            <w:r>
              <w:t>Feeling that my opinions won’t make a difference</w:t>
            </w:r>
          </w:p>
        </w:tc>
        <w:tc>
          <w:tcPr>
            <w:tcW w:w="1134" w:type="dxa"/>
          </w:tcPr>
          <w:p w14:paraId="49565697"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94</w:t>
            </w:r>
          </w:p>
        </w:tc>
        <w:tc>
          <w:tcPr>
            <w:tcW w:w="1134" w:type="dxa"/>
          </w:tcPr>
          <w:p w14:paraId="1044C9EE"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47.72%</w:t>
            </w:r>
          </w:p>
        </w:tc>
      </w:tr>
      <w:tr w:rsidR="00AA0904" w14:paraId="2B79C647" w14:textId="77777777" w:rsidTr="008B41A9">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6372" w:type="dxa"/>
          </w:tcPr>
          <w:p w14:paraId="32361D7C" w14:textId="77777777" w:rsidR="00AA0904" w:rsidRDefault="00AA0904" w:rsidP="008B41A9">
            <w:r>
              <w:t>Cultural or social factors (e.g., language barriers, not feeling welcomed or represented)</w:t>
            </w:r>
          </w:p>
        </w:tc>
        <w:tc>
          <w:tcPr>
            <w:tcW w:w="1134" w:type="dxa"/>
          </w:tcPr>
          <w:p w14:paraId="6115F5B6"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11</w:t>
            </w:r>
          </w:p>
        </w:tc>
        <w:tc>
          <w:tcPr>
            <w:tcW w:w="1134" w:type="dxa"/>
          </w:tcPr>
          <w:p w14:paraId="228034E4"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5.58%</w:t>
            </w:r>
          </w:p>
        </w:tc>
      </w:tr>
      <w:tr w:rsidR="00AA0904" w14:paraId="3BFBA8AD"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9B85526" w14:textId="77777777" w:rsidR="00AA0904" w:rsidRDefault="00AA0904" w:rsidP="008B41A9">
            <w:r>
              <w:t>Other</w:t>
            </w:r>
          </w:p>
        </w:tc>
        <w:tc>
          <w:tcPr>
            <w:tcW w:w="1134" w:type="dxa"/>
          </w:tcPr>
          <w:p w14:paraId="2FA79E53"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29</w:t>
            </w:r>
          </w:p>
        </w:tc>
        <w:tc>
          <w:tcPr>
            <w:tcW w:w="1134" w:type="dxa"/>
          </w:tcPr>
          <w:p w14:paraId="4C719205"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14.72%</w:t>
            </w:r>
          </w:p>
        </w:tc>
      </w:tr>
      <w:tr w:rsidR="00AA0904" w14:paraId="1CB5E0A7" w14:textId="77777777" w:rsidTr="008B41A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2" w:type="dxa"/>
          </w:tcPr>
          <w:p w14:paraId="4082CD0A" w14:textId="77777777" w:rsidR="00AA0904" w:rsidRDefault="00AA0904" w:rsidP="008B41A9">
            <w:r>
              <w:t>I don’t feel there are any barriers to getting involved</w:t>
            </w:r>
          </w:p>
        </w:tc>
        <w:tc>
          <w:tcPr>
            <w:tcW w:w="1134" w:type="dxa"/>
          </w:tcPr>
          <w:p w14:paraId="7500CA74"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19</w:t>
            </w:r>
          </w:p>
        </w:tc>
        <w:tc>
          <w:tcPr>
            <w:tcW w:w="1134" w:type="dxa"/>
          </w:tcPr>
          <w:p w14:paraId="3A63AB78" w14:textId="77777777" w:rsidR="00AA0904" w:rsidRDefault="00AA0904" w:rsidP="008B41A9">
            <w:pPr>
              <w:cnfStyle w:val="000000010000" w:firstRow="0" w:lastRow="0" w:firstColumn="0" w:lastColumn="0" w:oddVBand="0" w:evenVBand="0" w:oddHBand="0" w:evenHBand="1" w:firstRowFirstColumn="0" w:firstRowLastColumn="0" w:lastRowFirstColumn="0" w:lastRowLastColumn="0"/>
            </w:pPr>
            <w:r>
              <w:t>9.64%</w:t>
            </w:r>
          </w:p>
        </w:tc>
      </w:tr>
      <w:tr w:rsidR="00AA0904" w14:paraId="1DBB6CE8" w14:textId="77777777" w:rsidTr="008B41A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8783A24" w14:textId="77777777" w:rsidR="00AA0904" w:rsidRDefault="00AA0904" w:rsidP="008B41A9">
            <w:r>
              <w:t>Not Answered</w:t>
            </w:r>
          </w:p>
        </w:tc>
        <w:tc>
          <w:tcPr>
            <w:tcW w:w="1134" w:type="dxa"/>
          </w:tcPr>
          <w:p w14:paraId="075B37E5"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517C043D" w14:textId="77777777" w:rsidR="00AA0904" w:rsidRDefault="00AA0904" w:rsidP="008B41A9">
            <w:pPr>
              <w:cnfStyle w:val="000000100000" w:firstRow="0" w:lastRow="0" w:firstColumn="0" w:lastColumn="0" w:oddVBand="0" w:evenVBand="0" w:oddHBand="1" w:evenHBand="0" w:firstRowFirstColumn="0" w:firstRowLastColumn="0" w:lastRowFirstColumn="0" w:lastRowLastColumn="0"/>
            </w:pPr>
            <w:r>
              <w:t>0.51%</w:t>
            </w:r>
          </w:p>
        </w:tc>
      </w:tr>
    </w:tbl>
    <w:p w14:paraId="3EFC610E" w14:textId="77777777" w:rsidR="006E14D4" w:rsidRPr="00611264" w:rsidRDefault="006E14D4" w:rsidP="00AA0904">
      <w:pPr>
        <w:rPr>
          <w:rFonts w:eastAsia="SimSun"/>
          <w:bCs/>
          <w:lang w:val="en-GB" w:eastAsia="zh-CN"/>
        </w:rPr>
      </w:pPr>
    </w:p>
    <w:p w14:paraId="1998A508" w14:textId="77777777" w:rsidR="00611264" w:rsidRDefault="00611264">
      <w:pPr>
        <w:rPr>
          <w:rFonts w:eastAsia="SimSun"/>
          <w:b/>
          <w:lang w:val="en-GB" w:eastAsia="zh-CN"/>
        </w:rPr>
      </w:pPr>
    </w:p>
    <w:p w14:paraId="004360D9" w14:textId="7BECDA7F" w:rsidR="00AA0904" w:rsidRPr="00AA0904" w:rsidRDefault="00AA0904" w:rsidP="00AA0904">
      <w:pPr>
        <w:pStyle w:val="Heading2"/>
      </w:pPr>
      <w:r>
        <w:t xml:space="preserve">In your view, are there particular areas or services where you think we should engage with residents more often? </w:t>
      </w:r>
    </w:p>
    <w:p w14:paraId="120601F5" w14:textId="5AF83CDA" w:rsidR="00AA0904" w:rsidRDefault="00AA0904" w:rsidP="00AA0904">
      <w:r>
        <w:t>There were 125 responses to this part of the question.</w:t>
      </w:r>
    </w:p>
    <w:p w14:paraId="302B32CB" w14:textId="33C3F455" w:rsidR="0033302F" w:rsidRPr="00AA0904" w:rsidRDefault="00353D96" w:rsidP="00353D96">
      <w:pPr>
        <w:rPr>
          <w:b/>
          <w:bCs/>
        </w:rPr>
      </w:pPr>
      <w:r w:rsidRPr="00AA0904">
        <w:rPr>
          <w:b/>
          <w:bCs/>
        </w:rPr>
        <w:t xml:space="preserve"> </w:t>
      </w:r>
      <w:r w:rsidRPr="00AA0904">
        <w:rPr>
          <w:rFonts w:hint="eastAsia"/>
          <w:b/>
          <w:bCs/>
        </w:rPr>
        <w:t>A</w:t>
      </w:r>
      <w:r w:rsidRPr="00AA0904">
        <w:rPr>
          <w:b/>
          <w:bCs/>
        </w:rPr>
        <w:t xml:space="preserve"> summary of the most frequently mentioned aspects where residents feel more engagement is needed: </w:t>
      </w:r>
    </w:p>
    <w:p w14:paraId="465F52D2" w14:textId="18AE3637" w:rsidR="00353D96" w:rsidRPr="00AA0904" w:rsidRDefault="00AA0904" w:rsidP="00AA0904">
      <w:pPr>
        <w:numPr>
          <w:ilvl w:val="0"/>
          <w:numId w:val="13"/>
        </w:numPr>
        <w:rPr>
          <w:rFonts w:eastAsia="SimSun"/>
          <w:b/>
          <w:bCs/>
          <w:lang w:val="en-GB" w:eastAsia="zh-CN"/>
        </w:rPr>
      </w:pPr>
      <w:r w:rsidRPr="00AA0904">
        <w:rPr>
          <w:rFonts w:eastAsia="SimSun"/>
          <w:b/>
          <w:bCs/>
          <w:lang w:val="en-GB" w:eastAsia="zh-CN"/>
        </w:rPr>
        <w:t>Traffic and Transport: LTNs, Traffic filters, public transport, roadworks, parking, cycling, e-scooters, and coordination between City and County councils on traffic decisions.</w:t>
      </w:r>
    </w:p>
    <w:p w14:paraId="4A86A12C" w14:textId="3CC33261" w:rsidR="00353D96" w:rsidRPr="00AA0904" w:rsidRDefault="00353D96" w:rsidP="00353D96">
      <w:pPr>
        <w:numPr>
          <w:ilvl w:val="0"/>
          <w:numId w:val="13"/>
        </w:numPr>
        <w:rPr>
          <w:rFonts w:eastAsia="SimSun"/>
          <w:b/>
          <w:bCs/>
          <w:lang w:val="en-GB" w:eastAsia="zh-CN"/>
        </w:rPr>
      </w:pPr>
      <w:r w:rsidRPr="00AA0904">
        <w:rPr>
          <w:rFonts w:eastAsia="SimSun"/>
          <w:b/>
          <w:bCs/>
          <w:lang w:val="en-GB" w:eastAsia="zh-CN"/>
        </w:rPr>
        <w:t>Planning and Development</w:t>
      </w:r>
      <w:r w:rsidR="00AA0904" w:rsidRPr="00AA0904">
        <w:rPr>
          <w:rFonts w:eastAsia="SimSun"/>
          <w:b/>
          <w:bCs/>
          <w:lang w:val="en-GB" w:eastAsia="zh-CN"/>
        </w:rPr>
        <w:t>: Concerns include a lack of transparency and feedback in planning processes, worries about the loss of green spaces, a strong desire for more proactive community involvement, and the need for affordable housing alongside balanced land use.</w:t>
      </w:r>
    </w:p>
    <w:p w14:paraId="45EFB6E5" w14:textId="6E63B917" w:rsidR="00353D96" w:rsidRPr="00AA0904" w:rsidRDefault="00AA0904" w:rsidP="00353D96">
      <w:pPr>
        <w:numPr>
          <w:ilvl w:val="0"/>
          <w:numId w:val="13"/>
        </w:numPr>
        <w:rPr>
          <w:rFonts w:eastAsia="SimSun"/>
          <w:b/>
          <w:bCs/>
          <w:lang w:val="en-GB" w:eastAsia="zh-CN"/>
        </w:rPr>
      </w:pPr>
      <w:r w:rsidRPr="00AA0904">
        <w:rPr>
          <w:rFonts w:eastAsia="SimSun"/>
          <w:b/>
          <w:bCs/>
          <w:lang w:val="en-GB" w:eastAsia="zh-CN"/>
        </w:rPr>
        <w:t>Social Issues and Services: Key topics include youth services, social housing, food banks, mental health support, rising crime rates, rough sleeping, and antisocial behaviour.</w:t>
      </w:r>
    </w:p>
    <w:p w14:paraId="31FBD701" w14:textId="044C436D" w:rsidR="00353D96" w:rsidRPr="00AA0904" w:rsidRDefault="00353D96" w:rsidP="00353D96">
      <w:pPr>
        <w:numPr>
          <w:ilvl w:val="0"/>
          <w:numId w:val="13"/>
        </w:numPr>
        <w:rPr>
          <w:rFonts w:eastAsia="SimSun"/>
          <w:b/>
          <w:bCs/>
          <w:lang w:val="en-GB" w:eastAsia="zh-CN"/>
        </w:rPr>
      </w:pPr>
      <w:r w:rsidRPr="00AA0904">
        <w:rPr>
          <w:rFonts w:eastAsia="SimSun"/>
          <w:b/>
          <w:bCs/>
          <w:lang w:val="en-GB" w:eastAsia="zh-CN"/>
        </w:rPr>
        <w:t>Environment and Green Spaces</w:t>
      </w:r>
      <w:r w:rsidR="00AA0904" w:rsidRPr="00AA0904">
        <w:rPr>
          <w:rFonts w:eastAsia="SimSun"/>
          <w:b/>
          <w:bCs/>
          <w:lang w:val="en-GB" w:eastAsia="zh-CN"/>
        </w:rPr>
        <w:t>: While many residents urge stronger protection of green spaces, opinions vary on the Council’s climate emergency initiatives—some demand more action, while others question the approach.</w:t>
      </w:r>
    </w:p>
    <w:p w14:paraId="633D8012" w14:textId="77777777" w:rsidR="00AA0904" w:rsidRDefault="00AA0904" w:rsidP="00AA0904">
      <w:pPr>
        <w:pStyle w:val="Heading2"/>
      </w:pPr>
      <w:r>
        <w:lastRenderedPageBreak/>
        <w:t>Do you have any further comments on the Citizen and Community Engagement Policy 2025?</w:t>
      </w:r>
    </w:p>
    <w:p w14:paraId="18034D6D" w14:textId="77777777" w:rsidR="00AA0904" w:rsidRDefault="000E5197" w:rsidP="00353D96">
      <w:pPr>
        <w:rPr>
          <w:rFonts w:eastAsia="SimSun"/>
          <w:bCs/>
          <w:lang w:val="en-GB" w:eastAsia="zh-CN"/>
        </w:rPr>
      </w:pPr>
      <w:r w:rsidRPr="000E5197">
        <w:rPr>
          <w:rFonts w:eastAsia="SimSun"/>
          <w:bCs/>
          <w:lang w:val="en-GB" w:eastAsia="zh-CN"/>
        </w:rPr>
        <w:t>There were 67 responses to this part of the question.</w:t>
      </w:r>
      <w:r>
        <w:rPr>
          <w:rFonts w:eastAsia="SimSun" w:hint="eastAsia"/>
          <w:bCs/>
          <w:lang w:val="en-GB" w:eastAsia="zh-CN"/>
        </w:rPr>
        <w:t xml:space="preserve"> </w:t>
      </w:r>
    </w:p>
    <w:p w14:paraId="2A7DBDB8" w14:textId="4FD7504D" w:rsidR="00353D96" w:rsidRPr="00AA0904" w:rsidRDefault="00AA0904" w:rsidP="00353D96">
      <w:pPr>
        <w:rPr>
          <w:rFonts w:eastAsia="SimSun"/>
          <w:b/>
          <w:u w:val="single"/>
          <w:lang w:val="en-GB" w:eastAsia="zh-CN"/>
        </w:rPr>
      </w:pPr>
      <w:r w:rsidRPr="00AA0904">
        <w:rPr>
          <w:rFonts w:eastAsia="SimSun"/>
          <w:b/>
          <w:lang w:val="en-GB" w:eastAsia="zh-CN"/>
        </w:rPr>
        <w:t>The</w:t>
      </w:r>
      <w:r w:rsidR="000E5197" w:rsidRPr="00AA0904">
        <w:rPr>
          <w:rFonts w:eastAsia="SimSun"/>
          <w:b/>
          <w:lang w:val="en-GB" w:eastAsia="zh-CN"/>
        </w:rPr>
        <w:t xml:space="preserve"> most commonly mentioned themes</w:t>
      </w:r>
      <w:r w:rsidRPr="00AA0904">
        <w:rPr>
          <w:rFonts w:eastAsia="SimSun"/>
          <w:b/>
          <w:lang w:val="en-GB" w:eastAsia="zh-CN"/>
        </w:rPr>
        <w:t xml:space="preserve"> include</w:t>
      </w:r>
      <w:r w:rsidR="000E5197" w:rsidRPr="00AA0904">
        <w:rPr>
          <w:rFonts w:eastAsia="SimSun"/>
          <w:b/>
          <w:lang w:val="en-GB" w:eastAsia="zh-CN"/>
        </w:rPr>
        <w:t>:</w:t>
      </w:r>
    </w:p>
    <w:p w14:paraId="0823CD51" w14:textId="640C2332" w:rsidR="00AA0904" w:rsidRPr="00AA0904" w:rsidRDefault="00AA0904" w:rsidP="00AA0904">
      <w:pPr>
        <w:numPr>
          <w:ilvl w:val="0"/>
          <w:numId w:val="13"/>
        </w:numPr>
        <w:rPr>
          <w:rFonts w:eastAsia="SimSun"/>
          <w:b/>
          <w:lang w:val="en-GB" w:eastAsia="zh-CN"/>
        </w:rPr>
      </w:pPr>
      <w:r w:rsidRPr="00AA0904">
        <w:rPr>
          <w:rFonts w:eastAsia="SimSun"/>
          <w:b/>
          <w:lang w:val="en-GB" w:eastAsia="zh-CN"/>
        </w:rPr>
        <w:t>Transparency and Accountability</w:t>
      </w:r>
      <w:r>
        <w:rPr>
          <w:rFonts w:eastAsia="SimSun"/>
          <w:b/>
          <w:lang w:val="en-GB" w:eastAsia="zh-CN"/>
        </w:rPr>
        <w:t xml:space="preserve">: </w:t>
      </w:r>
      <w:r w:rsidRPr="00AA0904">
        <w:rPr>
          <w:rFonts w:eastAsia="SimSun"/>
          <w:b/>
          <w:lang w:val="en-GB" w:eastAsia="zh-CN"/>
        </w:rPr>
        <w:t>Residents are interested in understanding how their input is considered and used.</w:t>
      </w:r>
      <w:r>
        <w:rPr>
          <w:rFonts w:eastAsia="SimSun"/>
          <w:b/>
          <w:lang w:val="en-GB" w:eastAsia="zh-CN"/>
        </w:rPr>
        <w:t xml:space="preserve"> </w:t>
      </w:r>
      <w:r w:rsidRPr="00AA0904">
        <w:rPr>
          <w:rFonts w:eastAsia="SimSun"/>
          <w:b/>
          <w:lang w:val="en-GB" w:eastAsia="zh-CN"/>
        </w:rPr>
        <w:t>There is a desire to see visible outcomes from engagement and for councillors to be more responsive to community feedback.</w:t>
      </w:r>
      <w:r>
        <w:rPr>
          <w:rFonts w:eastAsia="SimSun"/>
          <w:b/>
          <w:lang w:val="en-GB" w:eastAsia="zh-CN"/>
        </w:rPr>
        <w:t xml:space="preserve"> </w:t>
      </w:r>
    </w:p>
    <w:p w14:paraId="5052EB91" w14:textId="707336C3" w:rsidR="00AA0904" w:rsidRPr="00AA0904" w:rsidRDefault="00AA0904" w:rsidP="00AA0904">
      <w:pPr>
        <w:numPr>
          <w:ilvl w:val="0"/>
          <w:numId w:val="13"/>
        </w:numPr>
        <w:rPr>
          <w:rFonts w:eastAsia="SimSun"/>
          <w:b/>
          <w:lang w:val="en-GB" w:eastAsia="zh-CN"/>
        </w:rPr>
      </w:pPr>
      <w:r w:rsidRPr="00AA0904">
        <w:rPr>
          <w:rFonts w:eastAsia="SimSun"/>
          <w:b/>
          <w:lang w:val="en-GB" w:eastAsia="zh-CN"/>
        </w:rPr>
        <w:t>Communication and Process Clarity:</w:t>
      </w:r>
      <w:r>
        <w:rPr>
          <w:rFonts w:eastAsia="SimSun"/>
          <w:b/>
          <w:lang w:val="en-GB" w:eastAsia="zh-CN"/>
        </w:rPr>
        <w:t xml:space="preserve"> </w:t>
      </w:r>
      <w:r w:rsidRPr="00AA0904">
        <w:rPr>
          <w:rFonts w:eastAsia="SimSun"/>
          <w:b/>
          <w:lang w:val="en-GB" w:eastAsia="zh-CN"/>
        </w:rPr>
        <w:t>Some residents find current documents and processes difficult to understand due to their length, complexity, or use of technical language. There is interest in using clearer, plain English, simplifying steps, and providing better guidance on how to get involved and influence decisions.</w:t>
      </w:r>
    </w:p>
    <w:p w14:paraId="0585C72C" w14:textId="40AF1B11" w:rsidR="000E5197" w:rsidRPr="00AA0904" w:rsidRDefault="00AA0904" w:rsidP="000E5197">
      <w:pPr>
        <w:numPr>
          <w:ilvl w:val="0"/>
          <w:numId w:val="13"/>
        </w:numPr>
        <w:rPr>
          <w:rFonts w:eastAsia="SimSun"/>
          <w:b/>
          <w:lang w:val="en-GB" w:eastAsia="zh-CN"/>
        </w:rPr>
      </w:pPr>
      <w:r w:rsidRPr="00AA0904">
        <w:rPr>
          <w:rFonts w:eastAsia="SimSun"/>
          <w:b/>
          <w:lang w:val="en-GB" w:eastAsia="zh-CN"/>
        </w:rPr>
        <w:t>Representation and Inclusive Engagement:</w:t>
      </w:r>
      <w:r>
        <w:rPr>
          <w:rFonts w:eastAsia="SimSun"/>
          <w:b/>
          <w:lang w:val="en-GB" w:eastAsia="zh-CN"/>
        </w:rPr>
        <w:t xml:space="preserve"> </w:t>
      </w:r>
      <w:r w:rsidRPr="00AA0904">
        <w:rPr>
          <w:rFonts w:eastAsia="SimSun"/>
          <w:b/>
          <w:lang w:val="en-GB" w:eastAsia="zh-CN"/>
        </w:rPr>
        <w:t>Residents have expressed a desire for more balanced outreach that includes a wider range of voices, such as older adults, disabled individuals, and those without digital access. Suggestions include using diverse participation methods, like citizen juries, to support broader involvement.</w:t>
      </w:r>
    </w:p>
    <w:p w14:paraId="1944AEA9" w14:textId="0D8F6B80" w:rsidR="0033302F" w:rsidRDefault="0033302F" w:rsidP="00C84A10"/>
    <w:sectPr w:rsidR="0033302F" w:rsidSect="00034616">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D25B" w14:textId="77777777" w:rsidR="003E6F53" w:rsidRDefault="003E6F53">
      <w:pPr>
        <w:spacing w:after="0" w:line="240" w:lineRule="auto"/>
      </w:pPr>
      <w:r>
        <w:separator/>
      </w:r>
    </w:p>
  </w:endnote>
  <w:endnote w:type="continuationSeparator" w:id="0">
    <w:p w14:paraId="739968E3" w14:textId="77777777" w:rsidR="003E6F53" w:rsidRDefault="003E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11A" w14:textId="77777777" w:rsidR="003E6F53" w:rsidRDefault="003E6F53">
      <w:pPr>
        <w:spacing w:after="0" w:line="240" w:lineRule="auto"/>
      </w:pPr>
      <w:r>
        <w:separator/>
      </w:r>
    </w:p>
  </w:footnote>
  <w:footnote w:type="continuationSeparator" w:id="0">
    <w:p w14:paraId="6A2EB05E" w14:textId="77777777" w:rsidR="003E6F53" w:rsidRDefault="003E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506C" w14:textId="77777777" w:rsidR="0033302F" w:rsidRDefault="007126F4">
    <w:pPr>
      <w:pStyle w:val="Header"/>
    </w:pPr>
    <w:r>
      <w:t>Oxford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7C3A36"/>
    <w:multiLevelType w:val="multilevel"/>
    <w:tmpl w:val="B39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2034C"/>
    <w:multiLevelType w:val="multilevel"/>
    <w:tmpl w:val="37D0B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403C8"/>
    <w:multiLevelType w:val="hybridMultilevel"/>
    <w:tmpl w:val="9E08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20F55"/>
    <w:multiLevelType w:val="multilevel"/>
    <w:tmpl w:val="D30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C118A"/>
    <w:multiLevelType w:val="multilevel"/>
    <w:tmpl w:val="3524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97E0B"/>
    <w:multiLevelType w:val="multilevel"/>
    <w:tmpl w:val="9C8E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481570">
    <w:abstractNumId w:val="8"/>
  </w:num>
  <w:num w:numId="2" w16cid:durableId="850295662">
    <w:abstractNumId w:val="6"/>
  </w:num>
  <w:num w:numId="3" w16cid:durableId="916356368">
    <w:abstractNumId w:val="5"/>
  </w:num>
  <w:num w:numId="4" w16cid:durableId="1915820909">
    <w:abstractNumId w:val="4"/>
  </w:num>
  <w:num w:numId="5" w16cid:durableId="637102252">
    <w:abstractNumId w:val="7"/>
  </w:num>
  <w:num w:numId="6" w16cid:durableId="689448774">
    <w:abstractNumId w:val="3"/>
  </w:num>
  <w:num w:numId="7" w16cid:durableId="1820077362">
    <w:abstractNumId w:val="2"/>
  </w:num>
  <w:num w:numId="8" w16cid:durableId="1667323794">
    <w:abstractNumId w:val="1"/>
  </w:num>
  <w:num w:numId="9" w16cid:durableId="1098477528">
    <w:abstractNumId w:val="0"/>
  </w:num>
  <w:num w:numId="10" w16cid:durableId="877359515">
    <w:abstractNumId w:val="14"/>
  </w:num>
  <w:num w:numId="11" w16cid:durableId="722408757">
    <w:abstractNumId w:val="13"/>
  </w:num>
  <w:num w:numId="12" w16cid:durableId="793672371">
    <w:abstractNumId w:val="12"/>
  </w:num>
  <w:num w:numId="13" w16cid:durableId="671639457">
    <w:abstractNumId w:val="10"/>
  </w:num>
  <w:num w:numId="14" w16cid:durableId="559220032">
    <w:abstractNumId w:val="9"/>
  </w:num>
  <w:num w:numId="15" w16cid:durableId="1576474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FC1"/>
    <w:rsid w:val="000E5197"/>
    <w:rsid w:val="0015074B"/>
    <w:rsid w:val="0029639D"/>
    <w:rsid w:val="00326F90"/>
    <w:rsid w:val="0033302F"/>
    <w:rsid w:val="003519C0"/>
    <w:rsid w:val="00353D96"/>
    <w:rsid w:val="003E6F53"/>
    <w:rsid w:val="00514AED"/>
    <w:rsid w:val="005757C2"/>
    <w:rsid w:val="00611264"/>
    <w:rsid w:val="006B3F51"/>
    <w:rsid w:val="006D0C62"/>
    <w:rsid w:val="006E14D4"/>
    <w:rsid w:val="007126F4"/>
    <w:rsid w:val="008F3549"/>
    <w:rsid w:val="00972B23"/>
    <w:rsid w:val="00995374"/>
    <w:rsid w:val="00A82F38"/>
    <w:rsid w:val="00AA0904"/>
    <w:rsid w:val="00AA1D8D"/>
    <w:rsid w:val="00B47730"/>
    <w:rsid w:val="00C62433"/>
    <w:rsid w:val="00C84A10"/>
    <w:rsid w:val="00CB0664"/>
    <w:rsid w:val="00F427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9DD1B"/>
  <w14:defaultImageDpi w14:val="300"/>
  <w15:docId w15:val="{317F0679-1365-4379-814E-8AE09776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0077">
      <w:bodyDiv w:val="1"/>
      <w:marLeft w:val="0"/>
      <w:marRight w:val="0"/>
      <w:marTop w:val="0"/>
      <w:marBottom w:val="0"/>
      <w:divBdr>
        <w:top w:val="none" w:sz="0" w:space="0" w:color="auto"/>
        <w:left w:val="none" w:sz="0" w:space="0" w:color="auto"/>
        <w:bottom w:val="none" w:sz="0" w:space="0" w:color="auto"/>
        <w:right w:val="none" w:sz="0" w:space="0" w:color="auto"/>
      </w:divBdr>
    </w:div>
    <w:div w:id="380516792">
      <w:bodyDiv w:val="1"/>
      <w:marLeft w:val="0"/>
      <w:marRight w:val="0"/>
      <w:marTop w:val="0"/>
      <w:marBottom w:val="0"/>
      <w:divBdr>
        <w:top w:val="none" w:sz="0" w:space="0" w:color="auto"/>
        <w:left w:val="none" w:sz="0" w:space="0" w:color="auto"/>
        <w:bottom w:val="none" w:sz="0" w:space="0" w:color="auto"/>
        <w:right w:val="none" w:sz="0" w:space="0" w:color="auto"/>
      </w:divBdr>
    </w:div>
    <w:div w:id="511798719">
      <w:bodyDiv w:val="1"/>
      <w:marLeft w:val="0"/>
      <w:marRight w:val="0"/>
      <w:marTop w:val="0"/>
      <w:marBottom w:val="0"/>
      <w:divBdr>
        <w:top w:val="none" w:sz="0" w:space="0" w:color="auto"/>
        <w:left w:val="none" w:sz="0" w:space="0" w:color="auto"/>
        <w:bottom w:val="none" w:sz="0" w:space="0" w:color="auto"/>
        <w:right w:val="none" w:sz="0" w:space="0" w:color="auto"/>
      </w:divBdr>
    </w:div>
    <w:div w:id="960234371">
      <w:bodyDiv w:val="1"/>
      <w:marLeft w:val="0"/>
      <w:marRight w:val="0"/>
      <w:marTop w:val="0"/>
      <w:marBottom w:val="0"/>
      <w:divBdr>
        <w:top w:val="none" w:sz="0" w:space="0" w:color="auto"/>
        <w:left w:val="none" w:sz="0" w:space="0" w:color="auto"/>
        <w:bottom w:val="none" w:sz="0" w:space="0" w:color="auto"/>
        <w:right w:val="none" w:sz="0" w:space="0" w:color="auto"/>
      </w:divBdr>
    </w:div>
    <w:div w:id="1148091404">
      <w:bodyDiv w:val="1"/>
      <w:marLeft w:val="0"/>
      <w:marRight w:val="0"/>
      <w:marTop w:val="0"/>
      <w:marBottom w:val="0"/>
      <w:divBdr>
        <w:top w:val="none" w:sz="0" w:space="0" w:color="auto"/>
        <w:left w:val="none" w:sz="0" w:space="0" w:color="auto"/>
        <w:bottom w:val="none" w:sz="0" w:space="0" w:color="auto"/>
        <w:right w:val="none" w:sz="0" w:space="0" w:color="auto"/>
      </w:divBdr>
    </w:div>
    <w:div w:id="1237936282">
      <w:bodyDiv w:val="1"/>
      <w:marLeft w:val="0"/>
      <w:marRight w:val="0"/>
      <w:marTop w:val="0"/>
      <w:marBottom w:val="0"/>
      <w:divBdr>
        <w:top w:val="none" w:sz="0" w:space="0" w:color="auto"/>
        <w:left w:val="none" w:sz="0" w:space="0" w:color="auto"/>
        <w:bottom w:val="none" w:sz="0" w:space="0" w:color="auto"/>
        <w:right w:val="none" w:sz="0" w:space="0" w:color="auto"/>
      </w:divBdr>
    </w:div>
    <w:div w:id="1314868219">
      <w:bodyDiv w:val="1"/>
      <w:marLeft w:val="0"/>
      <w:marRight w:val="0"/>
      <w:marTop w:val="0"/>
      <w:marBottom w:val="0"/>
      <w:divBdr>
        <w:top w:val="none" w:sz="0" w:space="0" w:color="auto"/>
        <w:left w:val="none" w:sz="0" w:space="0" w:color="auto"/>
        <w:bottom w:val="none" w:sz="0" w:space="0" w:color="auto"/>
        <w:right w:val="none" w:sz="0" w:space="0" w:color="auto"/>
      </w:divBdr>
    </w:div>
    <w:div w:id="1363095066">
      <w:bodyDiv w:val="1"/>
      <w:marLeft w:val="0"/>
      <w:marRight w:val="0"/>
      <w:marTop w:val="0"/>
      <w:marBottom w:val="0"/>
      <w:divBdr>
        <w:top w:val="none" w:sz="0" w:space="0" w:color="auto"/>
        <w:left w:val="none" w:sz="0" w:space="0" w:color="auto"/>
        <w:bottom w:val="none" w:sz="0" w:space="0" w:color="auto"/>
        <w:right w:val="none" w:sz="0" w:space="0" w:color="auto"/>
      </w:divBdr>
    </w:div>
    <w:div w:id="1585526100">
      <w:bodyDiv w:val="1"/>
      <w:marLeft w:val="0"/>
      <w:marRight w:val="0"/>
      <w:marTop w:val="0"/>
      <w:marBottom w:val="0"/>
      <w:divBdr>
        <w:top w:val="none" w:sz="0" w:space="0" w:color="auto"/>
        <w:left w:val="none" w:sz="0" w:space="0" w:color="auto"/>
        <w:bottom w:val="none" w:sz="0" w:space="0" w:color="auto"/>
        <w:right w:val="none" w:sz="0" w:space="0" w:color="auto"/>
      </w:divBdr>
    </w:div>
    <w:div w:id="1640913973">
      <w:bodyDiv w:val="1"/>
      <w:marLeft w:val="0"/>
      <w:marRight w:val="0"/>
      <w:marTop w:val="0"/>
      <w:marBottom w:val="0"/>
      <w:divBdr>
        <w:top w:val="none" w:sz="0" w:space="0" w:color="auto"/>
        <w:left w:val="none" w:sz="0" w:space="0" w:color="auto"/>
        <w:bottom w:val="none" w:sz="0" w:space="0" w:color="auto"/>
        <w:right w:val="none" w:sz="0" w:space="0" w:color="auto"/>
      </w:divBdr>
    </w:div>
    <w:div w:id="1642996573">
      <w:bodyDiv w:val="1"/>
      <w:marLeft w:val="0"/>
      <w:marRight w:val="0"/>
      <w:marTop w:val="0"/>
      <w:marBottom w:val="0"/>
      <w:divBdr>
        <w:top w:val="none" w:sz="0" w:space="0" w:color="auto"/>
        <w:left w:val="none" w:sz="0" w:space="0" w:color="auto"/>
        <w:bottom w:val="none" w:sz="0" w:space="0" w:color="auto"/>
        <w:right w:val="none" w:sz="0" w:space="0" w:color="auto"/>
      </w:divBdr>
    </w:div>
    <w:div w:id="1708673836">
      <w:bodyDiv w:val="1"/>
      <w:marLeft w:val="0"/>
      <w:marRight w:val="0"/>
      <w:marTop w:val="0"/>
      <w:marBottom w:val="0"/>
      <w:divBdr>
        <w:top w:val="none" w:sz="0" w:space="0" w:color="auto"/>
        <w:left w:val="none" w:sz="0" w:space="0" w:color="auto"/>
        <w:bottom w:val="none" w:sz="0" w:space="0" w:color="auto"/>
        <w:right w:val="none" w:sz="0" w:space="0" w:color="auto"/>
      </w:divBdr>
    </w:div>
    <w:div w:id="1829134146">
      <w:bodyDiv w:val="1"/>
      <w:marLeft w:val="0"/>
      <w:marRight w:val="0"/>
      <w:marTop w:val="0"/>
      <w:marBottom w:val="0"/>
      <w:divBdr>
        <w:top w:val="none" w:sz="0" w:space="0" w:color="auto"/>
        <w:left w:val="none" w:sz="0" w:space="0" w:color="auto"/>
        <w:bottom w:val="none" w:sz="0" w:space="0" w:color="auto"/>
        <w:right w:val="none" w:sz="0" w:space="0" w:color="auto"/>
      </w:divBdr>
    </w:div>
    <w:div w:id="1944610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principles</c:v>
                </c:pt>
              </c:strCache>
            </c:strRef>
          </c:tx>
          <c:invertIfNegative val="1"/>
          <c:cat>
            <c:strRef>
              <c:f>Sheet1!$A$2:$A$7</c:f>
              <c:strCache>
                <c:ptCount val="6"/>
                <c:pt idx="0">
                  <c:v>Not Answered</c:v>
                </c:pt>
                <c:pt idx="1">
                  <c:v>Strongly disagree</c:v>
                </c:pt>
                <c:pt idx="2">
                  <c:v>Disagree</c:v>
                </c:pt>
                <c:pt idx="3">
                  <c:v>Neither agree nor disagree</c:v>
                </c:pt>
                <c:pt idx="4">
                  <c:v>Agree</c:v>
                </c:pt>
                <c:pt idx="5">
                  <c:v>Strongly agree</c:v>
                </c:pt>
              </c:strCache>
            </c:strRef>
          </c:cat>
          <c:val>
            <c:numRef>
              <c:f>Sheet1!$B$2:$B$7</c:f>
              <c:numCache>
                <c:formatCode>General</c:formatCode>
                <c:ptCount val="6"/>
                <c:pt idx="0">
                  <c:v>3</c:v>
                </c:pt>
                <c:pt idx="1">
                  <c:v>4</c:v>
                </c:pt>
                <c:pt idx="2">
                  <c:v>6</c:v>
                </c:pt>
                <c:pt idx="3">
                  <c:v>24</c:v>
                </c:pt>
                <c:pt idx="4">
                  <c:v>87</c:v>
                </c:pt>
                <c:pt idx="5">
                  <c:v>73</c:v>
                </c:pt>
              </c:numCache>
            </c:numRef>
          </c:val>
          <c:extLst>
            <c:ext xmlns:c16="http://schemas.microsoft.com/office/drawing/2014/chart" uri="{C3380CC4-5D6E-409C-BE32-E72D297353CC}">
              <c16:uniqueId val="{00000000-E85F-4DD8-AD54-432834CD1AB5}"/>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importance of involvement</c:v>
                </c:pt>
              </c:strCache>
            </c:strRef>
          </c:tx>
          <c:invertIfNegative val="1"/>
          <c:cat>
            <c:strRef>
              <c:f>Sheet1!$A$2:$A$4</c:f>
              <c:strCache>
                <c:ptCount val="3"/>
                <c:pt idx="0">
                  <c:v>Moderately important</c:v>
                </c:pt>
                <c:pt idx="1">
                  <c:v>Very important</c:v>
                </c:pt>
                <c:pt idx="2">
                  <c:v>Extremely important</c:v>
                </c:pt>
              </c:strCache>
            </c:strRef>
          </c:cat>
          <c:val>
            <c:numRef>
              <c:f>Sheet1!$B$2:$B$4</c:f>
              <c:numCache>
                <c:formatCode>General</c:formatCode>
                <c:ptCount val="3"/>
                <c:pt idx="0">
                  <c:v>14</c:v>
                </c:pt>
                <c:pt idx="1">
                  <c:v>46</c:v>
                </c:pt>
                <c:pt idx="2">
                  <c:v>137</c:v>
                </c:pt>
              </c:numCache>
            </c:numRef>
          </c:val>
          <c:extLst>
            <c:ext xmlns:c16="http://schemas.microsoft.com/office/drawing/2014/chart" uri="{C3380CC4-5D6E-409C-BE32-E72D297353CC}">
              <c16:uniqueId val="{00000000-84E2-4585-AFC4-372441617CF3}"/>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ways of engagement</c:v>
                </c:pt>
              </c:strCache>
            </c:strRef>
          </c:tx>
          <c:invertIfNegative val="1"/>
          <c:cat>
            <c:strRef>
              <c:f>Sheet1!$A$2:$A$11</c:f>
              <c:strCache>
                <c:ptCount val="10"/>
                <c:pt idx="0">
                  <c:v>I haven’t been involved in any decision-
making activities</c:v>
                </c:pt>
                <c:pt idx="1">
                  <c:v>Other</c:v>
                </c:pt>
                <c:pt idx="2">
                  <c:v>Attending council meetings (e.g., Full C
ouncil, Cabinet, Planning Committee, etc
.)</c:v>
                </c:pt>
                <c:pt idx="3">
                  <c:v>Speaking with my local councillor</c:v>
                </c:pt>
                <c:pt idx="4">
                  <c:v>Engaging via social media (e.g., Twitter
, Facebook, TikTok, Instagram, etc.)</c:v>
                </c:pt>
                <c:pt idx="5">
                  <c:v>Taking part in postal or face-to-face su
rveys or research</c:v>
                </c:pt>
                <c:pt idx="6">
                  <c:v>Attending local meetings (e.g., at commu
nity centres)</c:v>
                </c:pt>
                <c:pt idx="7">
                  <c:v>Participating in online surveys or resea
rch</c:v>
                </c:pt>
                <c:pt idx="8">
                  <c:v>Taking part in the Annual Residents’ Sur
vey</c:v>
                </c:pt>
                <c:pt idx="9">
                  <c:v>Being a member of the Residents’ Panel</c:v>
                </c:pt>
              </c:strCache>
            </c:strRef>
          </c:cat>
          <c:val>
            <c:numRef>
              <c:f>Sheet1!$B$2:$B$11</c:f>
              <c:numCache>
                <c:formatCode>General</c:formatCode>
                <c:ptCount val="10"/>
                <c:pt idx="0">
                  <c:v>6</c:v>
                </c:pt>
                <c:pt idx="1">
                  <c:v>22</c:v>
                </c:pt>
                <c:pt idx="2">
                  <c:v>17</c:v>
                </c:pt>
                <c:pt idx="3">
                  <c:v>96</c:v>
                </c:pt>
                <c:pt idx="4">
                  <c:v>35</c:v>
                </c:pt>
                <c:pt idx="5">
                  <c:v>32</c:v>
                </c:pt>
                <c:pt idx="6">
                  <c:v>65</c:v>
                </c:pt>
                <c:pt idx="7">
                  <c:v>149</c:v>
                </c:pt>
                <c:pt idx="8">
                  <c:v>88</c:v>
                </c:pt>
                <c:pt idx="9">
                  <c:v>115</c:v>
                </c:pt>
              </c:numCache>
            </c:numRef>
          </c:val>
          <c:extLst>
            <c:ext xmlns:c16="http://schemas.microsoft.com/office/drawing/2014/chart" uri="{C3380CC4-5D6E-409C-BE32-E72D297353CC}">
              <c16:uniqueId val="{00000000-51D5-445F-97E0-E606BE7C9C2C}"/>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barrier</c:v>
                </c:pt>
              </c:strCache>
            </c:strRef>
          </c:tx>
          <c:invertIfNegative val="1"/>
          <c:cat>
            <c:strRef>
              <c:f>Sheet1!$A$2:$A$12</c:f>
              <c:strCache>
                <c:ptCount val="11"/>
                <c:pt idx="0">
                  <c:v>Not Answered</c:v>
                </c:pt>
                <c:pt idx="1">
                  <c:v>I don’t feel there are any barriers to g
etting involved</c:v>
                </c:pt>
                <c:pt idx="2">
                  <c:v>Other</c:v>
                </c:pt>
                <c:pt idx="3">
                  <c:v>Cultural or social factors (e.g., langua
ge barriers, not feeling welcomed or rep
resented)</c:v>
                </c:pt>
                <c:pt idx="4">
                  <c:v>Feeling that my opinions won’t make a di
fference</c:v>
                </c:pt>
                <c:pt idx="5">
                  <c:v>Lack of access to a computer or the inte
rnet</c:v>
                </c:pt>
                <c:pt idx="6">
                  <c:v>Health issues (e.g., physical or mental 
health challenges preventing attendance)</c:v>
                </c:pt>
                <c:pt idx="7">
                  <c:v>Unsure about how to get involved</c:v>
                </c:pt>
                <c:pt idx="8">
                  <c:v>Meetings/events held at inconvenient tim
es or locations</c:v>
                </c:pt>
                <c:pt idx="9">
                  <c:v>Not knowing enough about the issues bein
g discussed</c:v>
                </c:pt>
                <c:pt idx="10">
                  <c:v>Lack of time</c:v>
                </c:pt>
              </c:strCache>
            </c:strRef>
          </c:cat>
          <c:val>
            <c:numRef>
              <c:f>Sheet1!$B$2:$B$12</c:f>
              <c:numCache>
                <c:formatCode>General</c:formatCode>
                <c:ptCount val="11"/>
                <c:pt idx="0">
                  <c:v>1</c:v>
                </c:pt>
                <c:pt idx="1">
                  <c:v>19</c:v>
                </c:pt>
                <c:pt idx="2">
                  <c:v>29</c:v>
                </c:pt>
                <c:pt idx="3">
                  <c:v>11</c:v>
                </c:pt>
                <c:pt idx="4">
                  <c:v>94</c:v>
                </c:pt>
                <c:pt idx="5">
                  <c:v>8</c:v>
                </c:pt>
                <c:pt idx="6">
                  <c:v>19</c:v>
                </c:pt>
                <c:pt idx="7">
                  <c:v>56</c:v>
                </c:pt>
                <c:pt idx="8">
                  <c:v>59</c:v>
                </c:pt>
                <c:pt idx="9">
                  <c:v>77</c:v>
                </c:pt>
                <c:pt idx="10">
                  <c:v>75</c:v>
                </c:pt>
              </c:numCache>
            </c:numRef>
          </c:val>
          <c:extLst>
            <c:ext xmlns:c16="http://schemas.microsoft.com/office/drawing/2014/chart" uri="{C3380CC4-5D6E-409C-BE32-E72D297353CC}">
              <c16:uniqueId val="{00000000-8DD2-4732-97F5-E37322CCFC60}"/>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051F-2FD8-47AF-81A0-B8D3EA45D044}">
  <ds:schemaRefs>
    <ds:schemaRef ds:uri="http://schemas.microsoft.com/sharepoint/v3/contenttype/forms"/>
  </ds:schemaRefs>
</ds:datastoreItem>
</file>

<file path=customXml/itemProps2.xml><?xml version="1.0" encoding="utf-8"?>
<ds:datastoreItem xmlns:ds="http://schemas.openxmlformats.org/officeDocument/2006/customXml" ds:itemID="{FEDAB513-50FD-4907-93DD-CBABA5E22271}"/>
</file>

<file path=customXml/itemProps3.xml><?xml version="1.0" encoding="utf-8"?>
<ds:datastoreItem xmlns:ds="http://schemas.openxmlformats.org/officeDocument/2006/customXml" ds:itemID="{7581ED20-6A2B-4F1C-B80B-F3AEE3B570FA}">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4c65a70-782b-4903-8544-451ceffb39ef"/>
    <ds:schemaRef ds:uri="f3559f86-1df3-4ec0-9117-92b921db40bb"/>
    <ds:schemaRef ds:uri="http://purl.org/dc/dcmitype/"/>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BISHOP Helen</cp:lastModifiedBy>
  <cp:revision>2</cp:revision>
  <dcterms:created xsi:type="dcterms:W3CDTF">2025-08-21T11:23:00Z</dcterms:created>
  <dcterms:modified xsi:type="dcterms:W3CDTF">2025-08-21T11:23:00Z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bc407483-0eeb-42ab-9fb5-ee1848b06dfd</vt:lpwstr>
  </property>
  <property fmtid="{D5CDD505-2E9C-101B-9397-08002B2CF9AE}" pid="3" name="ContentTypeId">
    <vt:lpwstr>0x010100B5288C9F99542148A16292699E9EF8DD</vt:lpwstr>
  </property>
</Properties>
</file>